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Evaluation of the Bandit–MID Reinforcement-Learning Scripts</w:t>
      </w:r>
    </w:p>
    <w:p>
      <w:pPr>
        <w:jc w:val="center"/>
      </w:pPr>
      <w:r>
        <w:rPr>
          <w:i/>
        </w:rPr>
        <w:t>Paradigm: bandit_mid_task_v15 | Fitting: fit_bandit_mid_rl_v4.py | Summary analysis: analyze_bandit_mid_v4.py</w:t>
      </w:r>
    </w:p>
    <w:p>
      <w:pPr>
        <w:spacing w:after="80"/>
      </w:pPr>
      <w:r>
        <w:t>Purpose. This report evaluates the computational accuracy, nomenclature, model specification, estimation strategy, and interpretability of the reinforcement-learning pipeline accompanying the Bandit–MID task. It also identifies published computational precedents and recommended revisions before confirmatory use.</w:t>
      </w:r>
    </w:p>
    <w:p>
      <w:pPr>
        <w:pStyle w:val="Heading1"/>
      </w:pPr>
      <w:r>
        <w:t>Executive assessment</w:t>
      </w:r>
    </w:p>
    <w:p>
      <w:pPr>
        <w:spacing w:after="80"/>
      </w:pPr>
      <w:r>
        <w:t>The scripts implement a valid and internally coherent model-free reinforcement-learning analysis. The basic Q-learning update, three-option softmax choice function, separate positive and negative learning rates, perseveration model, multistart maximum-likelihood optimization, and trialwise replay are correctly specified. The main concerns involve the interpretation and identification of the MID-derived modulation parameter, not the basic reinforcement-learning equations.</w:t>
      </w:r>
    </w:p>
    <w:tbl>
      <w:tblPr>
        <w:tblStyle w:val="TableGrid"/>
        <w:tblW w:type="auto" w:w="0"/>
        <w:jc w:val="center"/>
        <w:tblLook w:firstColumn="1" w:firstRow="1" w:lastColumn="0" w:lastRow="0" w:noHBand="0" w:noVBand="1" w:val="04A0"/>
      </w:tblPr>
      <w:tblGrid>
        <w:gridCol w:w="5256"/>
        <w:gridCol w:w="5256"/>
      </w:tblGrid>
      <w:tr>
        <w:tc>
          <w:tcPr>
            <w:tcW w:type="dxa" w:w="5256"/>
            <w:shd w:fill="D9EAF7"/>
            <w:vAlign w:val="center"/>
          </w:tcPr>
          <w:p>
            <w:pPr>
              <w:spacing w:after="0"/>
            </w:pPr>
            <w:r>
              <w:rPr>
                <w:rFonts w:ascii="Arial" w:hAnsi="Arial"/>
                <w:sz w:val="18"/>
              </w:rPr>
              <w:t>Component</w:t>
            </w:r>
          </w:p>
        </w:tc>
        <w:tc>
          <w:tcPr>
            <w:tcW w:type="dxa" w:w="5256"/>
            <w:shd w:fill="D9EAF7"/>
            <w:vAlign w:val="center"/>
          </w:tcPr>
          <w:p>
            <w:pPr>
              <w:spacing w:after="0"/>
            </w:pPr>
            <w:r>
              <w:rPr>
                <w:rFonts w:ascii="Arial" w:hAnsi="Arial"/>
                <w:sz w:val="18"/>
              </w:rPr>
              <w:t>Assessment</w:t>
            </w:r>
          </w:p>
        </w:tc>
      </w:tr>
      <w:tr>
        <w:tc>
          <w:tcPr>
            <w:tcW w:type="dxa" w:w="5256"/>
            <w:vAlign w:val="center"/>
          </w:tcPr>
          <w:p>
            <w:pPr>
              <w:spacing w:after="0"/>
            </w:pPr>
            <w:r>
              <w:rPr>
                <w:rFonts w:ascii="Arial" w:hAnsi="Arial"/>
                <w:sz w:val="18"/>
              </w:rPr>
              <w:t>Basic Q-learning update</w:t>
            </w:r>
          </w:p>
        </w:tc>
        <w:tc>
          <w:tcPr>
            <w:tcW w:type="dxa" w:w="5256"/>
            <w:vAlign w:val="center"/>
          </w:tcPr>
          <w:p>
            <w:pPr>
              <w:spacing w:after="0"/>
            </w:pPr>
            <w:r>
              <w:rPr>
                <w:rFonts w:ascii="Arial" w:hAnsi="Arial"/>
                <w:sz w:val="18"/>
              </w:rPr>
              <w:t>Correct</w:t>
            </w:r>
          </w:p>
        </w:tc>
      </w:tr>
      <w:tr>
        <w:tc>
          <w:tcPr>
            <w:tcW w:type="dxa" w:w="5256"/>
            <w:vAlign w:val="center"/>
          </w:tcPr>
          <w:p>
            <w:pPr>
              <w:spacing w:after="0"/>
            </w:pPr>
            <w:r>
              <w:rPr>
                <w:rFonts w:ascii="Arial" w:hAnsi="Arial"/>
                <w:sz w:val="18"/>
              </w:rPr>
              <w:t>Separate α⁺ and α⁻ learning rates</w:t>
            </w:r>
          </w:p>
        </w:tc>
        <w:tc>
          <w:tcPr>
            <w:tcW w:type="dxa" w:w="5256"/>
            <w:vAlign w:val="center"/>
          </w:tcPr>
          <w:p>
            <w:pPr>
              <w:spacing w:after="0"/>
            </w:pPr>
            <w:r>
              <w:rPr>
                <w:rFonts w:ascii="Arial" w:hAnsi="Arial"/>
                <w:sz w:val="18"/>
              </w:rPr>
              <w:t>Correct</w:t>
            </w:r>
          </w:p>
        </w:tc>
      </w:tr>
      <w:tr>
        <w:tc>
          <w:tcPr>
            <w:tcW w:type="dxa" w:w="5256"/>
            <w:vAlign w:val="center"/>
          </w:tcPr>
          <w:p>
            <w:pPr>
              <w:spacing w:after="0"/>
            </w:pPr>
            <w:r>
              <w:rPr>
                <w:rFonts w:ascii="Arial" w:hAnsi="Arial"/>
                <w:sz w:val="18"/>
              </w:rPr>
              <w:t>Three-choice softmax</w:t>
            </w:r>
          </w:p>
        </w:tc>
        <w:tc>
          <w:tcPr>
            <w:tcW w:type="dxa" w:w="5256"/>
            <w:vAlign w:val="center"/>
          </w:tcPr>
          <w:p>
            <w:pPr>
              <w:spacing w:after="0"/>
            </w:pPr>
            <w:r>
              <w:rPr>
                <w:rFonts w:ascii="Arial" w:hAnsi="Arial"/>
                <w:sz w:val="18"/>
              </w:rPr>
              <w:t>Correct</w:t>
            </w:r>
          </w:p>
        </w:tc>
      </w:tr>
      <w:tr>
        <w:tc>
          <w:tcPr>
            <w:tcW w:type="dxa" w:w="5256"/>
            <w:vAlign w:val="center"/>
          </w:tcPr>
          <w:p>
            <w:pPr>
              <w:spacing w:after="0"/>
            </w:pPr>
            <w:r>
              <w:rPr>
                <w:rFonts w:ascii="Arial" w:hAnsi="Arial"/>
                <w:sz w:val="18"/>
              </w:rPr>
              <w:t>Perseveration parameter κ</w:t>
            </w:r>
          </w:p>
        </w:tc>
        <w:tc>
          <w:tcPr>
            <w:tcW w:type="dxa" w:w="5256"/>
            <w:vAlign w:val="center"/>
          </w:tcPr>
          <w:p>
            <w:pPr>
              <w:spacing w:after="0"/>
            </w:pPr>
            <w:r>
              <w:rPr>
                <w:rFonts w:ascii="Arial" w:hAnsi="Arial"/>
                <w:sz w:val="18"/>
              </w:rPr>
              <w:t>Correct</w:t>
            </w:r>
          </w:p>
        </w:tc>
      </w:tr>
      <w:tr>
        <w:tc>
          <w:tcPr>
            <w:tcW w:type="dxa" w:w="5256"/>
            <w:vAlign w:val="center"/>
          </w:tcPr>
          <w:p>
            <w:pPr>
              <w:spacing w:after="0"/>
            </w:pPr>
            <w:r>
              <w:rPr>
                <w:rFonts w:ascii="Arial" w:hAnsi="Arial"/>
                <w:sz w:val="18"/>
              </w:rPr>
              <w:t>Reversal handling and value carryover</w:t>
            </w:r>
          </w:p>
        </w:tc>
        <w:tc>
          <w:tcPr>
            <w:tcW w:type="dxa" w:w="5256"/>
            <w:vAlign w:val="center"/>
          </w:tcPr>
          <w:p>
            <w:pPr>
              <w:spacing w:after="0"/>
            </w:pPr>
            <w:r>
              <w:rPr>
                <w:rFonts w:ascii="Arial" w:hAnsi="Arial"/>
                <w:sz w:val="18"/>
              </w:rPr>
              <w:t>Correct</w:t>
            </w:r>
          </w:p>
        </w:tc>
      </w:tr>
      <w:tr>
        <w:tc>
          <w:tcPr>
            <w:tcW w:type="dxa" w:w="5256"/>
            <w:vAlign w:val="center"/>
          </w:tcPr>
          <w:p>
            <w:pPr>
              <w:spacing w:after="0"/>
            </w:pPr>
            <w:r>
              <w:rPr>
                <w:rFonts w:ascii="Arial" w:hAnsi="Arial"/>
                <w:sz w:val="18"/>
              </w:rPr>
              <w:t>Trialwise Q values and prediction errors</w:t>
            </w:r>
          </w:p>
        </w:tc>
        <w:tc>
          <w:tcPr>
            <w:tcW w:type="dxa" w:w="5256"/>
            <w:vAlign w:val="center"/>
          </w:tcPr>
          <w:p>
            <w:pPr>
              <w:spacing w:after="0"/>
            </w:pPr>
            <w:r>
              <w:rPr>
                <w:rFonts w:ascii="Arial" w:hAnsi="Arial"/>
                <w:sz w:val="18"/>
              </w:rPr>
              <w:t>Correct</w:t>
            </w:r>
          </w:p>
        </w:tc>
      </w:tr>
      <w:tr>
        <w:tc>
          <w:tcPr>
            <w:tcW w:type="dxa" w:w="5256"/>
            <w:vAlign w:val="center"/>
          </w:tcPr>
          <w:p>
            <w:pPr>
              <w:spacing w:after="0"/>
            </w:pPr>
            <w:r>
              <w:rPr>
                <w:rFonts w:ascii="Arial" w:hAnsi="Arial"/>
                <w:sz w:val="18"/>
              </w:rPr>
              <w:t>Individual maximum-likelihood fitting</w:t>
            </w:r>
          </w:p>
        </w:tc>
        <w:tc>
          <w:tcPr>
            <w:tcW w:type="dxa" w:w="5256"/>
            <w:vAlign w:val="center"/>
          </w:tcPr>
          <w:p>
            <w:pPr>
              <w:spacing w:after="0"/>
            </w:pPr>
            <w:r>
              <w:rPr>
                <w:rFonts w:ascii="Arial" w:hAnsi="Arial"/>
                <w:sz w:val="18"/>
              </w:rPr>
              <w:t>Acceptable for preliminary analyses and QC</w:t>
            </w:r>
          </w:p>
        </w:tc>
      </w:tr>
      <w:tr>
        <w:tc>
          <w:tcPr>
            <w:tcW w:type="dxa" w:w="5256"/>
            <w:vAlign w:val="center"/>
          </w:tcPr>
          <w:p>
            <w:pPr>
              <w:spacing w:after="0"/>
            </w:pPr>
            <w:r>
              <w:rPr>
                <w:rFonts w:ascii="Arial" w:hAnsi="Arial"/>
                <w:sz w:val="18"/>
              </w:rPr>
              <w:t>MID-vigor modulation parameter φ</w:t>
            </w:r>
          </w:p>
        </w:tc>
        <w:tc>
          <w:tcPr>
            <w:tcW w:type="dxa" w:w="5256"/>
            <w:vAlign w:val="center"/>
          </w:tcPr>
          <w:p>
            <w:pPr>
              <w:spacing w:after="0"/>
            </w:pPr>
            <w:r>
              <w:rPr>
                <w:rFonts w:ascii="Arial" w:hAnsi="Arial"/>
                <w:sz w:val="18"/>
              </w:rPr>
              <w:t>Plausible but currently fragile</w:t>
            </w:r>
          </w:p>
        </w:tc>
      </w:tr>
      <w:tr>
        <w:tc>
          <w:tcPr>
            <w:tcW w:type="dxa" w:w="5256"/>
            <w:vAlign w:val="center"/>
          </w:tcPr>
          <w:p>
            <w:pPr>
              <w:spacing w:after="0"/>
            </w:pPr>
            <w:r>
              <w:rPr>
                <w:rFonts w:ascii="Arial" w:hAnsi="Arial"/>
                <w:sz w:val="18"/>
              </w:rPr>
              <w:t>Group-level inference</w:t>
            </w:r>
          </w:p>
        </w:tc>
        <w:tc>
          <w:tcPr>
            <w:tcW w:type="dxa" w:w="5256"/>
            <w:vAlign w:val="center"/>
          </w:tcPr>
          <w:p>
            <w:pPr>
              <w:spacing w:after="0"/>
            </w:pPr>
            <w:r>
              <w:rPr>
                <w:rFonts w:ascii="Arial" w:hAnsi="Arial"/>
                <w:sz w:val="18"/>
              </w:rPr>
              <w:t>Hierarchical estimation recommended</w:t>
            </w:r>
          </w:p>
        </w:tc>
      </w:tr>
      <w:tr>
        <w:tc>
          <w:tcPr>
            <w:tcW w:type="dxa" w:w="5256"/>
            <w:vAlign w:val="center"/>
          </w:tcPr>
          <w:p>
            <w:pPr>
              <w:spacing w:after="0"/>
            </w:pPr>
            <w:r>
              <w:rPr>
                <w:rFonts w:ascii="Arial" w:hAnsi="Arial"/>
                <w:sz w:val="18"/>
              </w:rPr>
              <w:t>Publication readiness</w:t>
            </w:r>
          </w:p>
        </w:tc>
        <w:tc>
          <w:tcPr>
            <w:tcW w:type="dxa" w:w="5256"/>
            <w:vAlign w:val="center"/>
          </w:tcPr>
          <w:p>
            <w:pPr>
              <w:spacing w:after="0"/>
            </w:pPr>
            <w:r>
              <w:rPr>
                <w:rFonts w:ascii="Arial" w:hAnsi="Arial"/>
                <w:sz w:val="18"/>
              </w:rPr>
              <w:t>Core models are usable; dynamic-state model needs revision and recovery</w:t>
            </w:r>
          </w:p>
        </w:tc>
      </w:tr>
    </w:tbl>
    <w:p>
      <w:pPr>
        <w:pStyle w:val="Heading1"/>
      </w:pPr>
      <w:r>
        <w:t>1. Task and data-pipeline accuracy</w:t>
      </w:r>
    </w:p>
    <w:p>
      <w:pPr>
        <w:spacing w:after="80"/>
      </w:pPr>
      <w:r>
        <w:t>The task contains 200 three-arm bandit trials, reward probabilities of 0.80, 0.50, and 0.30, and reversals beginning on trials 69 and 130. It also intersperses 16 food and 14 neutral MID probes. The model carries action values across reversals rather than resetting them, allowing post-reversal relearning to emerge from prediction errors. This is appropriate.</w:t>
      </w:r>
    </w:p>
    <w:p>
      <w:pPr>
        <w:spacing w:after="80"/>
      </w:pPr>
      <w:r>
        <w:t>The fitting script models screen position as the action identity. This is valid because the task randomizes the symbol-to-position mapping once per session and then holds it fixed. Were positions randomized on every trial, the model would need to fit stable stimulus or logical-arm identities instead.</w:t>
      </w:r>
    </w:p>
    <w:p>
      <w:pPr>
        <w:spacing w:after="80"/>
      </w:pPr>
      <w:r>
        <w:t>The task generates potential outcomes for all three arms but presents only the selected outcome. The fitting script correctly updates only the chosen action value, which is the appropriate partial-feedback learning rule.</w:t>
      </w:r>
    </w:p>
    <w:p>
      <w:pPr>
        <w:spacing w:after="80"/>
      </w:pPr>
      <w:r>
        <w:t>Definite provenance issue. The file is named bandit_mid_task_v15.py, but TASK_VERSION is set to “v14.” Change the constant to TASK_VERSION = “v15” before collecting or combining data.</w:t>
      </w:r>
    </w:p>
    <w:p>
      <w:pPr>
        <w:pStyle w:val="Heading1"/>
      </w:pPr>
      <w:r>
        <w:t>2. Correct reinforcement-learning nomenclature and equations</w:t>
      </w:r>
    </w:p>
    <w:p>
      <w:pPr>
        <w:spacing w:after="80"/>
      </w:pPr>
      <w:r>
        <w:t>The notation below is recommended throughout the scripts, documentation, output dictionary, and manuscript.</w:t>
      </w:r>
    </w:p>
    <w:tbl>
      <w:tblPr>
        <w:tblStyle w:val="TableGrid"/>
        <w:tblW w:type="auto" w:w="0"/>
        <w:jc w:val="center"/>
        <w:tblLook w:firstColumn="1" w:firstRow="1" w:lastColumn="0" w:lastRow="0" w:noHBand="0" w:noVBand="1" w:val="04A0"/>
      </w:tblPr>
      <w:tblGrid>
        <w:gridCol w:w="5256"/>
        <w:gridCol w:w="5256"/>
      </w:tblGrid>
      <w:tr>
        <w:tc>
          <w:tcPr>
            <w:tcW w:type="dxa" w:w="5256"/>
            <w:shd w:fill="D9EAF7"/>
            <w:vAlign w:val="center"/>
          </w:tcPr>
          <w:p>
            <w:pPr>
              <w:spacing w:after="0"/>
            </w:pPr>
            <w:r>
              <w:rPr>
                <w:rFonts w:ascii="Arial" w:hAnsi="Arial"/>
                <w:sz w:val="18"/>
              </w:rPr>
              <w:t>Symbol</w:t>
            </w:r>
          </w:p>
        </w:tc>
        <w:tc>
          <w:tcPr>
            <w:tcW w:type="dxa" w:w="5256"/>
            <w:shd w:fill="D9EAF7"/>
            <w:vAlign w:val="center"/>
          </w:tcPr>
          <w:p>
            <w:pPr>
              <w:spacing w:after="0"/>
            </w:pPr>
            <w:r>
              <w:rPr>
                <w:rFonts w:ascii="Arial" w:hAnsi="Arial"/>
                <w:sz w:val="18"/>
              </w:rPr>
              <w:t>Meaning</w:t>
            </w:r>
          </w:p>
        </w:tc>
      </w:tr>
      <w:tr>
        <w:tc>
          <w:tcPr>
            <w:tcW w:type="dxa" w:w="5256"/>
            <w:vAlign w:val="center"/>
          </w:tcPr>
          <w:p>
            <w:pPr>
              <w:spacing w:after="0"/>
            </w:pPr>
            <w:r>
              <w:rPr>
                <w:rFonts w:ascii="Arial" w:hAnsi="Arial"/>
                <w:sz w:val="18"/>
              </w:rPr>
              <w:t>t</w:t>
            </w:r>
          </w:p>
        </w:tc>
        <w:tc>
          <w:tcPr>
            <w:tcW w:type="dxa" w:w="5256"/>
            <w:vAlign w:val="center"/>
          </w:tcPr>
          <w:p>
            <w:pPr>
              <w:spacing w:after="0"/>
            </w:pPr>
            <w:r>
              <w:rPr>
                <w:rFonts w:ascii="Arial" w:hAnsi="Arial"/>
                <w:sz w:val="18"/>
              </w:rPr>
              <w:t>Trial index</w:t>
            </w:r>
          </w:p>
        </w:tc>
      </w:tr>
      <w:tr>
        <w:tc>
          <w:tcPr>
            <w:tcW w:type="dxa" w:w="5256"/>
            <w:vAlign w:val="center"/>
          </w:tcPr>
          <w:p>
            <w:pPr>
              <w:spacing w:after="0"/>
            </w:pPr>
            <w:r>
              <w:rPr>
                <w:rFonts w:ascii="Arial" w:hAnsi="Arial"/>
                <w:sz w:val="18"/>
              </w:rPr>
              <w:t>a_t</w:t>
            </w:r>
          </w:p>
        </w:tc>
        <w:tc>
          <w:tcPr>
            <w:tcW w:type="dxa" w:w="5256"/>
            <w:vAlign w:val="center"/>
          </w:tcPr>
          <w:p>
            <w:pPr>
              <w:spacing w:after="0"/>
            </w:pPr>
            <w:r>
              <w:rPr>
                <w:rFonts w:ascii="Arial" w:hAnsi="Arial"/>
                <w:sz w:val="18"/>
              </w:rPr>
              <w:t>Action selected on trial t</w:t>
            </w:r>
          </w:p>
        </w:tc>
      </w:tr>
      <w:tr>
        <w:tc>
          <w:tcPr>
            <w:tcW w:type="dxa" w:w="5256"/>
            <w:vAlign w:val="center"/>
          </w:tcPr>
          <w:p>
            <w:pPr>
              <w:spacing w:after="0"/>
            </w:pPr>
            <w:r>
              <w:rPr>
                <w:rFonts w:ascii="Arial" w:hAnsi="Arial"/>
                <w:sz w:val="18"/>
              </w:rPr>
              <w:t>A</w:t>
            </w:r>
          </w:p>
        </w:tc>
        <w:tc>
          <w:tcPr>
            <w:tcW w:type="dxa" w:w="5256"/>
            <w:vAlign w:val="center"/>
          </w:tcPr>
          <w:p>
            <w:pPr>
              <w:spacing w:after="0"/>
            </w:pPr>
            <w:r>
              <w:rPr>
                <w:rFonts w:ascii="Arial" w:hAnsi="Arial"/>
                <w:sz w:val="18"/>
              </w:rPr>
              <w:t>Set of available actions; here A = {1, 2, 3}</w:t>
            </w:r>
          </w:p>
        </w:tc>
      </w:tr>
      <w:tr>
        <w:tc>
          <w:tcPr>
            <w:tcW w:type="dxa" w:w="5256"/>
            <w:vAlign w:val="center"/>
          </w:tcPr>
          <w:p>
            <w:pPr>
              <w:spacing w:after="0"/>
            </w:pPr>
            <w:r>
              <w:rPr>
                <w:rFonts w:ascii="Arial" w:hAnsi="Arial"/>
                <w:sz w:val="18"/>
              </w:rPr>
              <w:t>Q_t(a)</w:t>
            </w:r>
          </w:p>
        </w:tc>
        <w:tc>
          <w:tcPr>
            <w:tcW w:type="dxa" w:w="5256"/>
            <w:vAlign w:val="center"/>
          </w:tcPr>
          <w:p>
            <w:pPr>
              <w:spacing w:after="0"/>
            </w:pPr>
            <w:r>
              <w:rPr>
                <w:rFonts w:ascii="Arial" w:hAnsi="Arial"/>
                <w:sz w:val="18"/>
              </w:rPr>
              <w:t>Estimated action value of action a before the outcome on trial t</w:t>
            </w:r>
          </w:p>
        </w:tc>
      </w:tr>
      <w:tr>
        <w:tc>
          <w:tcPr>
            <w:tcW w:type="dxa" w:w="5256"/>
            <w:vAlign w:val="center"/>
          </w:tcPr>
          <w:p>
            <w:pPr>
              <w:spacing w:after="0"/>
            </w:pPr>
            <w:r>
              <w:rPr>
                <w:rFonts w:ascii="Arial" w:hAnsi="Arial"/>
                <w:sz w:val="18"/>
              </w:rPr>
              <w:t>r_t</w:t>
            </w:r>
          </w:p>
        </w:tc>
        <w:tc>
          <w:tcPr>
            <w:tcW w:type="dxa" w:w="5256"/>
            <w:vAlign w:val="center"/>
          </w:tcPr>
          <w:p>
            <w:pPr>
              <w:spacing w:after="0"/>
            </w:pPr>
            <w:r>
              <w:rPr>
                <w:rFonts w:ascii="Arial" w:hAnsi="Arial"/>
                <w:sz w:val="18"/>
              </w:rPr>
              <w:t>Observed outcome on trial t; coded +1 for reward and −1 for loss</w:t>
            </w:r>
          </w:p>
        </w:tc>
      </w:tr>
      <w:tr>
        <w:tc>
          <w:tcPr>
            <w:tcW w:type="dxa" w:w="5256"/>
            <w:vAlign w:val="center"/>
          </w:tcPr>
          <w:p>
            <w:pPr>
              <w:spacing w:after="0"/>
            </w:pPr>
            <w:r>
              <w:rPr>
                <w:rFonts w:ascii="Arial" w:hAnsi="Arial"/>
                <w:sz w:val="18"/>
              </w:rPr>
              <w:t>δ_t</w:t>
            </w:r>
          </w:p>
        </w:tc>
        <w:tc>
          <w:tcPr>
            <w:tcW w:type="dxa" w:w="5256"/>
            <w:vAlign w:val="center"/>
          </w:tcPr>
          <w:p>
            <w:pPr>
              <w:spacing w:after="0"/>
            </w:pPr>
            <w:r>
              <w:rPr>
                <w:rFonts w:ascii="Arial" w:hAnsi="Arial"/>
                <w:sz w:val="18"/>
              </w:rPr>
              <w:t>Reward prediction error on trial t</w:t>
            </w:r>
          </w:p>
        </w:tc>
      </w:tr>
      <w:tr>
        <w:tc>
          <w:tcPr>
            <w:tcW w:type="dxa" w:w="5256"/>
            <w:vAlign w:val="center"/>
          </w:tcPr>
          <w:p>
            <w:pPr>
              <w:spacing w:after="0"/>
            </w:pPr>
            <w:r>
              <w:rPr>
                <w:rFonts w:ascii="Arial" w:hAnsi="Arial"/>
                <w:sz w:val="18"/>
              </w:rPr>
              <w:t>α⁺</w:t>
            </w:r>
          </w:p>
        </w:tc>
        <w:tc>
          <w:tcPr>
            <w:tcW w:type="dxa" w:w="5256"/>
            <w:vAlign w:val="center"/>
          </w:tcPr>
          <w:p>
            <w:pPr>
              <w:spacing w:after="0"/>
            </w:pPr>
            <w:r>
              <w:rPr>
                <w:rFonts w:ascii="Arial" w:hAnsi="Arial"/>
                <w:sz w:val="18"/>
              </w:rPr>
              <w:t>Learning rate for nonnegative prediction errors</w:t>
            </w:r>
          </w:p>
        </w:tc>
      </w:tr>
      <w:tr>
        <w:tc>
          <w:tcPr>
            <w:tcW w:type="dxa" w:w="5256"/>
            <w:vAlign w:val="center"/>
          </w:tcPr>
          <w:p>
            <w:pPr>
              <w:spacing w:after="0"/>
            </w:pPr>
            <w:r>
              <w:rPr>
                <w:rFonts w:ascii="Arial" w:hAnsi="Arial"/>
                <w:sz w:val="18"/>
              </w:rPr>
              <w:t>α⁻</w:t>
            </w:r>
          </w:p>
        </w:tc>
        <w:tc>
          <w:tcPr>
            <w:tcW w:type="dxa" w:w="5256"/>
            <w:vAlign w:val="center"/>
          </w:tcPr>
          <w:p>
            <w:pPr>
              <w:spacing w:after="0"/>
            </w:pPr>
            <w:r>
              <w:rPr>
                <w:rFonts w:ascii="Arial" w:hAnsi="Arial"/>
                <w:sz w:val="18"/>
              </w:rPr>
              <w:t>Learning rate for negative prediction errors</w:t>
            </w:r>
          </w:p>
        </w:tc>
      </w:tr>
      <w:tr>
        <w:tc>
          <w:tcPr>
            <w:tcW w:type="dxa" w:w="5256"/>
            <w:vAlign w:val="center"/>
          </w:tcPr>
          <w:p>
            <w:pPr>
              <w:spacing w:after="0"/>
            </w:pPr>
            <w:r>
              <w:rPr>
                <w:rFonts w:ascii="Arial" w:hAnsi="Arial"/>
                <w:sz w:val="18"/>
              </w:rPr>
              <w:t>β</w:t>
            </w:r>
          </w:p>
        </w:tc>
        <w:tc>
          <w:tcPr>
            <w:tcW w:type="dxa" w:w="5256"/>
            <w:vAlign w:val="center"/>
          </w:tcPr>
          <w:p>
            <w:pPr>
              <w:spacing w:after="0"/>
            </w:pPr>
            <w:r>
              <w:rPr>
                <w:rFonts w:ascii="Arial" w:hAnsi="Arial"/>
                <w:sz w:val="18"/>
              </w:rPr>
              <w:t>Inverse-temperature parameter controlling value sensitivity or choice consistency</w:t>
            </w:r>
          </w:p>
        </w:tc>
      </w:tr>
      <w:tr>
        <w:tc>
          <w:tcPr>
            <w:tcW w:type="dxa" w:w="5256"/>
            <w:vAlign w:val="center"/>
          </w:tcPr>
          <w:p>
            <w:pPr>
              <w:spacing w:after="0"/>
            </w:pPr>
            <w:r>
              <w:rPr>
                <w:rFonts w:ascii="Arial" w:hAnsi="Arial"/>
                <w:sz w:val="18"/>
              </w:rPr>
              <w:t>κ</w:t>
            </w:r>
          </w:p>
        </w:tc>
        <w:tc>
          <w:tcPr>
            <w:tcW w:type="dxa" w:w="5256"/>
            <w:vAlign w:val="center"/>
          </w:tcPr>
          <w:p>
            <w:pPr>
              <w:spacing w:after="0"/>
            </w:pPr>
            <w:r>
              <w:rPr>
                <w:rFonts w:ascii="Arial" w:hAnsi="Arial"/>
                <w:sz w:val="18"/>
              </w:rPr>
              <w:t>Choice-stickiness or perseveration parameter</w:t>
            </w:r>
          </w:p>
        </w:tc>
      </w:tr>
      <w:tr>
        <w:tc>
          <w:tcPr>
            <w:tcW w:type="dxa" w:w="5256"/>
            <w:vAlign w:val="center"/>
          </w:tcPr>
          <w:p>
            <w:pPr>
              <w:spacing w:after="0"/>
            </w:pPr>
            <w:r>
              <w:rPr>
                <w:rFonts w:ascii="Arial" w:hAnsi="Arial"/>
                <w:sz w:val="18"/>
              </w:rPr>
              <w:t>v_t</w:t>
            </w:r>
          </w:p>
        </w:tc>
        <w:tc>
          <w:tcPr>
            <w:tcW w:type="dxa" w:w="5256"/>
            <w:vAlign w:val="center"/>
          </w:tcPr>
          <w:p>
            <w:pPr>
              <w:spacing w:after="0"/>
            </w:pPr>
            <w:r>
              <w:rPr>
                <w:rFonts w:ascii="Arial" w:hAnsi="Arial"/>
                <w:sz w:val="18"/>
              </w:rPr>
              <w:t>Trial-varying food-cue vigor state</w:t>
            </w:r>
          </w:p>
        </w:tc>
      </w:tr>
      <w:tr>
        <w:tc>
          <w:tcPr>
            <w:tcW w:type="dxa" w:w="5256"/>
            <w:vAlign w:val="center"/>
          </w:tcPr>
          <w:p>
            <w:pPr>
              <w:spacing w:after="0"/>
            </w:pPr>
            <w:r>
              <w:rPr>
                <w:rFonts w:ascii="Arial" w:hAnsi="Arial"/>
                <w:sz w:val="18"/>
              </w:rPr>
              <w:t>φ</w:t>
            </w:r>
          </w:p>
        </w:tc>
        <w:tc>
          <w:tcPr>
            <w:tcW w:type="dxa" w:w="5256"/>
            <w:vAlign w:val="center"/>
          </w:tcPr>
          <w:p>
            <w:pPr>
              <w:spacing w:after="0"/>
            </w:pPr>
            <w:r>
              <w:rPr>
                <w:rFonts w:ascii="Arial" w:hAnsi="Arial"/>
                <w:sz w:val="18"/>
              </w:rPr>
              <w:t>Slope describing modulation of positive-outcome learning by v_t</w:t>
            </w:r>
          </w:p>
        </w:tc>
      </w:tr>
      <w:tr>
        <w:tc>
          <w:tcPr>
            <w:tcW w:type="dxa" w:w="5256"/>
            <w:vAlign w:val="center"/>
          </w:tcPr>
          <w:p>
            <w:pPr>
              <w:spacing w:after="0"/>
            </w:pPr>
            <w:r>
              <w:rPr>
                <w:rFonts w:ascii="Arial" w:hAnsi="Arial"/>
                <w:sz w:val="18"/>
              </w:rPr>
              <w:t>ρ</w:t>
            </w:r>
          </w:p>
        </w:tc>
        <w:tc>
          <w:tcPr>
            <w:tcW w:type="dxa" w:w="5256"/>
            <w:vAlign w:val="center"/>
          </w:tcPr>
          <w:p>
            <w:pPr>
              <w:spacing w:after="0"/>
            </w:pPr>
            <w:r>
              <w:rPr>
                <w:rFonts w:ascii="Arial" w:hAnsi="Arial"/>
                <w:sz w:val="18"/>
              </w:rPr>
              <w:t>Reward-sensitivity parameter; fixed at 1 in the present implementation</w:t>
            </w:r>
          </w:p>
        </w:tc>
      </w:tr>
    </w:tbl>
    <w:p>
      <w:pPr>
        <w:pStyle w:val="Heading2"/>
      </w:pPr>
      <w:r>
        <w:t>2.1 Prediction error</w:t>
      </w:r>
    </w:p>
    <w:p>
      <w:pPr>
        <w:pStyle w:val="Equation"/>
        <w:jc w:val="center"/>
      </w:pPr>
      <w:r>
        <w:t>δₜ = ρrₜ − Qₜ(aₜ)</w:t>
      </w:r>
    </w:p>
    <w:p>
      <w:pPr>
        <w:spacing w:after="80"/>
      </w:pPr>
      <w:r>
        <w:t>With ρ fixed to 1, this reduces to δₜ = rₜ − Qₜ(aₜ). The term Qₜ(aₜ) is the value of the action selected on trial t before updating. Because the task is a bandit with no modeled state transition, a one-step action-value prediction error is appropriate.</w:t>
      </w:r>
    </w:p>
    <w:p>
      <w:pPr>
        <w:pStyle w:val="Heading2"/>
      </w:pPr>
      <w:r>
        <w:t>2.2 Valence-dependent value update</w:t>
      </w:r>
    </w:p>
    <w:p>
      <w:pPr>
        <w:pStyle w:val="Equation"/>
        <w:jc w:val="center"/>
      </w:pPr>
      <w:r>
        <w:t>αₜ = α⁺   if δₜ ≥ 0;     αₜ = α⁻   if δₜ &lt; 0</w:t>
      </w:r>
    </w:p>
    <w:p>
      <w:pPr>
        <w:pStyle w:val="Equation"/>
        <w:jc w:val="center"/>
      </w:pPr>
      <w:r>
        <w:t>Qₜ₊₁(aₜ) = Qₜ(aₜ) + αₜδₜ</w:t>
      </w:r>
    </w:p>
    <w:p>
      <w:pPr>
        <w:pStyle w:val="Equation"/>
        <w:jc w:val="center"/>
      </w:pPr>
      <w:r>
        <w:t>Qₜ₊₁(a) = Qₜ(a)   for every unchosen action a ≠ aₜ</w:t>
      </w:r>
    </w:p>
    <w:p>
      <w:pPr>
        <w:spacing w:after="80"/>
      </w:pPr>
      <w:r>
        <w:t>This is an asymmetric Rescorla–Wagner or Q-learning update for a partial-feedback multi-armed bandit. The superscripts “+” and “−” refer to prediction-error valence, not reward and punishment conditions in isolation.</w:t>
      </w:r>
    </w:p>
    <w:p>
      <w:pPr>
        <w:pStyle w:val="Heading2"/>
      </w:pPr>
      <w:r>
        <w:t>2.3 Three-option softmax with perseveration</w:t>
      </w:r>
    </w:p>
    <w:p>
      <w:pPr>
        <w:pStyle w:val="Equation"/>
        <w:jc w:val="center"/>
      </w:pPr>
      <w:r>
        <w:t>P(aₜ = j) = exp[βQₜ(j) + κ𝟙(j = aₜ₋₁)] / Σₖ∈A exp[βQₜ(k) + κ𝟙(k = aₜ₋₁)]</w:t>
      </w:r>
    </w:p>
    <w:p>
      <w:pPr>
        <w:spacing w:after="80"/>
      </w:pPr>
      <w:r>
        <w:t>Here, 𝟙(·) is the indicator function. Larger β produces choices that more consistently favor higher-valued actions. Positive κ produces repetition beyond that explained by learned value; negative κ produces a switching tendency.</w:t>
      </w:r>
    </w:p>
    <w:p>
      <w:pPr>
        <w:pStyle w:val="Heading2"/>
      </w:pPr>
      <w:r>
        <w:t>2.4 Recommended dynamic learning-rate equation</w:t>
      </w:r>
    </w:p>
    <w:p>
      <w:pPr>
        <w:spacing w:after="80"/>
      </w:pPr>
      <w:r>
        <w:t>The current script uses a linearly modulated and hard-clipped positive learning rate:</w:t>
      </w:r>
    </w:p>
    <w:p>
      <w:pPr>
        <w:pStyle w:val="Equation"/>
        <w:jc w:val="center"/>
      </w:pPr>
      <w:r>
        <w:t>α⁺ₜ = clip(α⁺₀ + φvₜ, ε, 1 − ε)</w:t>
      </w:r>
    </w:p>
    <w:p>
      <w:pPr>
        <w:spacing w:after="80"/>
      </w:pPr>
      <w:r>
        <w:t>The nomenclature is correct if v_t is labeled food-cue vigor rather than craving. However, a smooth logistic parameterization is preferable:</w:t>
      </w:r>
    </w:p>
    <w:p>
      <w:pPr>
        <w:pStyle w:val="Equation"/>
        <w:jc w:val="center"/>
      </w:pPr>
      <w:r>
        <w:t>logit(α⁺ₜ) = η⁺₀ + φvₜ</w:t>
      </w:r>
    </w:p>
    <w:p>
      <w:pPr>
        <w:pStyle w:val="Equation"/>
        <w:jc w:val="center"/>
      </w:pPr>
      <w:r>
        <w:t>α⁺ₜ = 1 / {1 + exp[−(η⁺₀ + φvₜ)]}</w:t>
      </w:r>
    </w:p>
    <w:p>
      <w:pPr>
        <w:spacing w:after="80"/>
      </w:pPr>
      <w:r>
        <w:t>This formulation keeps the learning rate strictly between 0 and 1 without creating the flat likelihood regions caused by hard clipping.</w:t>
      </w:r>
    </w:p>
    <w:p>
      <w:pPr>
        <w:pStyle w:val="Heading1"/>
      </w:pPr>
      <w:r>
        <w:t>3. Evaluation of the candidate models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vAlign w:val="center"/>
          </w:tcPr>
          <w:p>
            <w:pPr>
              <w:spacing w:after="0"/>
            </w:pPr>
            <w:r>
              <w:rPr>
                <w:rFonts w:ascii="Arial" w:hAnsi="Arial"/>
                <w:sz w:val="18"/>
              </w:rPr>
              <w:t>Model</w:t>
            </w:r>
          </w:p>
        </w:tc>
        <w:tc>
          <w:tcPr>
            <w:tcW w:type="dxa" w:w="3504"/>
            <w:shd w:fill="D9EAF7"/>
            <w:vAlign w:val="center"/>
          </w:tcPr>
          <w:p>
            <w:pPr>
              <w:spacing w:after="0"/>
            </w:pPr>
            <w:r>
              <w:rPr>
                <w:rFonts w:ascii="Arial" w:hAnsi="Arial"/>
                <w:sz w:val="18"/>
              </w:rPr>
              <w:t>Parameters</w:t>
            </w:r>
          </w:p>
        </w:tc>
        <w:tc>
          <w:tcPr>
            <w:tcW w:type="dxa" w:w="3504"/>
            <w:shd w:fill="D9EAF7"/>
            <w:vAlign w:val="center"/>
          </w:tcPr>
          <w:p>
            <w:pPr>
              <w:spacing w:after="0"/>
            </w:pPr>
            <w:r>
              <w:rPr>
                <w:rFonts w:ascii="Arial" w:hAnsi="Arial"/>
                <w:sz w:val="18"/>
              </w:rPr>
              <w:t>Interpretation</w:t>
            </w:r>
          </w:p>
        </w:tc>
      </w:tr>
      <w:tr>
        <w:tc>
          <w:tcPr>
            <w:tcW w:type="dxa" w:w="3504"/>
            <w:vAlign w:val="center"/>
          </w:tcPr>
          <w:p>
            <w:pPr>
              <w:spacing w:after="0"/>
            </w:pPr>
            <w:r>
              <w:rPr>
                <w:rFonts w:ascii="Arial" w:hAnsi="Arial"/>
                <w:sz w:val="18"/>
              </w:rPr>
              <w:t>M1</w:t>
            </w:r>
          </w:p>
        </w:tc>
        <w:tc>
          <w:tcPr>
            <w:tcW w:type="dxa" w:w="3504"/>
            <w:vAlign w:val="center"/>
          </w:tcPr>
          <w:p>
            <w:pPr>
              <w:spacing w:after="0"/>
            </w:pPr>
            <w:r>
              <w:rPr>
                <w:rFonts w:ascii="Arial" w:hAnsi="Arial"/>
                <w:sz w:val="18"/>
              </w:rPr>
              <w:t>α, β</w:t>
            </w:r>
          </w:p>
        </w:tc>
        <w:tc>
          <w:tcPr>
            <w:tcW w:type="dxa" w:w="3504"/>
            <w:vAlign w:val="center"/>
          </w:tcPr>
          <w:p>
            <w:pPr>
              <w:spacing w:after="0"/>
            </w:pPr>
            <w:r>
              <w:rPr>
                <w:rFonts w:ascii="Arial" w:hAnsi="Arial"/>
                <w:sz w:val="18"/>
              </w:rPr>
              <w:t>Single learning rate and value-sensitive choice</w:t>
            </w:r>
          </w:p>
        </w:tc>
      </w:tr>
      <w:tr>
        <w:tc>
          <w:tcPr>
            <w:tcW w:type="dxa" w:w="3504"/>
            <w:vAlign w:val="center"/>
          </w:tcPr>
          <w:p>
            <w:pPr>
              <w:spacing w:after="0"/>
            </w:pPr>
            <w:r>
              <w:rPr>
                <w:rFonts w:ascii="Arial" w:hAnsi="Arial"/>
                <w:sz w:val="18"/>
              </w:rPr>
              <w:t>M2</w:t>
            </w:r>
          </w:p>
        </w:tc>
        <w:tc>
          <w:tcPr>
            <w:tcW w:type="dxa" w:w="3504"/>
            <w:vAlign w:val="center"/>
          </w:tcPr>
          <w:p>
            <w:pPr>
              <w:spacing w:after="0"/>
            </w:pPr>
            <w:r>
              <w:rPr>
                <w:rFonts w:ascii="Arial" w:hAnsi="Arial"/>
                <w:sz w:val="18"/>
              </w:rPr>
              <w:t>α⁺, α⁻, β</w:t>
            </w:r>
          </w:p>
        </w:tc>
        <w:tc>
          <w:tcPr>
            <w:tcW w:type="dxa" w:w="3504"/>
            <w:vAlign w:val="center"/>
          </w:tcPr>
          <w:p>
            <w:pPr>
              <w:spacing w:after="0"/>
            </w:pPr>
            <w:r>
              <w:rPr>
                <w:rFonts w:ascii="Arial" w:hAnsi="Arial"/>
                <w:sz w:val="18"/>
              </w:rPr>
              <w:t>Valence-dependent learning</w:t>
            </w:r>
          </w:p>
        </w:tc>
      </w:tr>
      <w:tr>
        <w:tc>
          <w:tcPr>
            <w:tcW w:type="dxa" w:w="3504"/>
            <w:vAlign w:val="center"/>
          </w:tcPr>
          <w:p>
            <w:pPr>
              <w:spacing w:after="0"/>
            </w:pPr>
            <w:r>
              <w:rPr>
                <w:rFonts w:ascii="Arial" w:hAnsi="Arial"/>
                <w:sz w:val="18"/>
              </w:rPr>
              <w:t>M3</w:t>
            </w:r>
          </w:p>
        </w:tc>
        <w:tc>
          <w:tcPr>
            <w:tcW w:type="dxa" w:w="3504"/>
            <w:vAlign w:val="center"/>
          </w:tcPr>
          <w:p>
            <w:pPr>
              <w:spacing w:after="0"/>
            </w:pPr>
            <w:r>
              <w:rPr>
                <w:rFonts w:ascii="Arial" w:hAnsi="Arial"/>
                <w:sz w:val="18"/>
              </w:rPr>
              <w:t>α⁺, α⁻, β, κ</w:t>
            </w:r>
          </w:p>
        </w:tc>
        <w:tc>
          <w:tcPr>
            <w:tcW w:type="dxa" w:w="3504"/>
            <w:vAlign w:val="center"/>
          </w:tcPr>
          <w:p>
            <w:pPr>
              <w:spacing w:after="0"/>
            </w:pPr>
            <w:r>
              <w:rPr>
                <w:rFonts w:ascii="Arial" w:hAnsi="Arial"/>
                <w:sz w:val="18"/>
              </w:rPr>
              <w:t>Valence-dependent learning plus perseveration</w:t>
            </w:r>
          </w:p>
        </w:tc>
      </w:tr>
      <w:tr>
        <w:tc>
          <w:tcPr>
            <w:tcW w:type="dxa" w:w="3504"/>
            <w:vAlign w:val="center"/>
          </w:tcPr>
          <w:p>
            <w:pPr>
              <w:spacing w:after="0"/>
            </w:pPr>
            <w:r>
              <w:rPr>
                <w:rFonts w:ascii="Arial" w:hAnsi="Arial"/>
                <w:sz w:val="18"/>
              </w:rPr>
              <w:t>M4</w:t>
            </w:r>
          </w:p>
        </w:tc>
        <w:tc>
          <w:tcPr>
            <w:tcW w:type="dxa" w:w="3504"/>
            <w:vAlign w:val="center"/>
          </w:tcPr>
          <w:p>
            <w:pPr>
              <w:spacing w:after="0"/>
            </w:pPr>
            <w:r>
              <w:rPr>
                <w:rFonts w:ascii="Arial" w:hAnsi="Arial"/>
                <w:sz w:val="18"/>
              </w:rPr>
              <w:t>α⁺, α⁻, β, φ</w:t>
            </w:r>
          </w:p>
        </w:tc>
        <w:tc>
          <w:tcPr>
            <w:tcW w:type="dxa" w:w="3504"/>
            <w:vAlign w:val="center"/>
          </w:tcPr>
          <w:p>
            <w:pPr>
              <w:spacing w:after="0"/>
            </w:pPr>
            <w:r>
              <w:rPr>
                <w:rFonts w:ascii="Arial" w:hAnsi="Arial"/>
                <w:sz w:val="18"/>
              </w:rPr>
              <w:t>M2 plus vigor modulation of positive learning</w:t>
            </w:r>
          </w:p>
        </w:tc>
      </w:tr>
      <w:tr>
        <w:tc>
          <w:tcPr>
            <w:tcW w:type="dxa" w:w="3504"/>
            <w:vAlign w:val="center"/>
          </w:tcPr>
          <w:p>
            <w:pPr>
              <w:spacing w:after="0"/>
            </w:pPr>
            <w:r>
              <w:rPr>
                <w:rFonts w:ascii="Arial" w:hAnsi="Arial"/>
                <w:sz w:val="18"/>
              </w:rPr>
              <w:t>Recommended M5</w:t>
            </w:r>
          </w:p>
        </w:tc>
        <w:tc>
          <w:tcPr>
            <w:tcW w:type="dxa" w:w="3504"/>
            <w:vAlign w:val="center"/>
          </w:tcPr>
          <w:p>
            <w:pPr>
              <w:spacing w:after="0"/>
            </w:pPr>
            <w:r>
              <w:rPr>
                <w:rFonts w:ascii="Arial" w:hAnsi="Arial"/>
                <w:sz w:val="18"/>
              </w:rPr>
              <w:t>α⁺, α⁻, β, κ, φ</w:t>
            </w:r>
          </w:p>
        </w:tc>
        <w:tc>
          <w:tcPr>
            <w:tcW w:type="dxa" w:w="3504"/>
            <w:vAlign w:val="center"/>
          </w:tcPr>
          <w:p>
            <w:pPr>
              <w:spacing w:after="0"/>
            </w:pPr>
            <w:r>
              <w:rPr>
                <w:rFonts w:ascii="Arial" w:hAnsi="Arial"/>
                <w:sz w:val="18"/>
              </w:rPr>
              <w:t>M3 plus vigor modulation of positive learning</w:t>
            </w:r>
          </w:p>
        </w:tc>
      </w:tr>
    </w:tbl>
    <w:p>
      <w:pPr>
        <w:spacing w:after="80"/>
      </w:pPr>
      <w:r>
        <w:t>M1, M2, and M3 are correctly nested. M4 reduces to M2 when φ = 0. Nevertheless, the principal dynamic-state comparison should also include an M3 + φ model. If perseveration is present but omitted from the dynamic model, φ, β, and the learning rates may absorb variation caused by choice repetition or switching.</w:t>
      </w:r>
    </w:p>
    <w:p>
      <w:pPr>
        <w:spacing w:after="80"/>
      </w:pPr>
      <w:r>
        <w:t>Recommended confirmatory comparison: compare M3 against M5 = M3 + φ. Retain the M2-versus-M4 comparison as a secondary sensitivity analysis.</w:t>
      </w:r>
    </w:p>
    <w:p>
      <w:pPr>
        <w:pStyle w:val="Heading1"/>
      </w:pPr>
      <w:r>
        <w:t>4. MID reaction time as a motivational-state modulator</w:t>
      </w:r>
    </w:p>
    <w:p>
      <w:pPr>
        <w:spacing w:after="80"/>
      </w:pPr>
      <w:r>
        <w:t>The script currently computes a food-probe signal using sign-reversed within-person standardized reaction time, v_i = −z(RT_i), and carries each probe value forward until the next food probe. Faster food-cue responding therefore produces a larger positive state value.</w:t>
      </w:r>
    </w:p>
    <w:p>
      <w:pPr>
        <w:spacing w:after="80"/>
      </w:pPr>
      <w:r>
        <w:t>This signal should be called food-cue incentive vigor, food-cue motivational invigoration, or food-cue response vigor. It should not be called craving unless it is validated against an explicit craving measure. MID reaction time is an implicit performance measure and can also reflect motor speed, attention, fatigue, target expectancy, and adaptive-window effects.</w:t>
      </w:r>
    </w:p>
    <w:p>
      <w:pPr>
        <w:pStyle w:val="Heading2"/>
      </w:pPr>
      <w:r>
        <w:t>4.1 Main concerns</w:t>
      </w:r>
    </w:p>
    <w:p>
      <w:pPr>
        <w:pStyle w:val="ListBullet"/>
        <w:spacing w:after="40"/>
      </w:pPr>
      <w:r>
        <w:t>Miss responses with recorded target RTs currently contribute to the continuous state variable. Valid hits, grace-period misses, premature responses, and no-responses should be handled explicitly rather than implicitly mixed.</w:t>
      </w:r>
    </w:p>
    <w:p>
      <w:pPr>
        <w:pStyle w:val="ListBullet"/>
        <w:spacing w:after="40"/>
      </w:pPr>
      <w:r>
        <w:t>The adaptive response window can influence RT and hit probability. The vigor measure should account for adaptive_window_ms, probe number, and hit/miss status.</w:t>
      </w:r>
    </w:p>
    <w:p>
      <w:pPr>
        <w:pStyle w:val="ListBullet"/>
        <w:spacing w:after="40"/>
      </w:pPr>
      <w:r>
        <w:t>Using only food-probe RT does not isolate food-specific motivation from nonspecific motor or attentional variation. Neutral MID RT should be used as a control, not pooled indiscriminately with food RT.</w:t>
      </w:r>
    </w:p>
    <w:p>
      <w:pPr>
        <w:pStyle w:val="ListBullet"/>
        <w:spacing w:after="40"/>
      </w:pPr>
      <w:r>
        <w:t>Within-run z-scoring uses the mean and standard deviation of all food probes, including future probes. This is acceptable for retrospective description but is not a strictly online causal scaling procedure.</w:t>
      </w:r>
    </w:p>
    <w:p>
      <w:pPr>
        <w:pStyle w:val="ListBullet"/>
        <w:spacing w:after="40"/>
      </w:pPr>
      <w:r>
        <w:t>Only 16 food-probe observations generate the state sequence. The effective information for φ is therefore much closer to 16 state changes than to 200 independent bandit trials.</w:t>
      </w:r>
    </w:p>
    <w:p>
      <w:pPr>
        <w:pStyle w:val="ListBullet"/>
        <w:spacing w:after="40"/>
      </w:pPr>
      <w:r>
        <w:t>Hard clipping of α⁺ₜ can impair parameter identification. A logistic link is preferable.</w:t>
      </w:r>
    </w:p>
    <w:p>
      <w:pPr>
        <w:pStyle w:val="Heading2"/>
      </w:pPr>
      <w:r>
        <w:t>4.2 Recommended food-specific vigor measure</w:t>
      </w:r>
    </w:p>
    <w:p>
      <w:pPr>
        <w:spacing w:after="80"/>
      </w:pPr>
      <w:r>
        <w:t>A stronger state variable would represent food-cue RT after controlling for nonspecific performance and task mechanics:</w:t>
      </w:r>
    </w:p>
    <w:p>
      <w:pPr>
        <w:pStyle w:val="Equation"/>
        <w:jc w:val="center"/>
      </w:pPr>
      <w:r>
        <w:t>vᶠᵒᵒᵈᵢ = −z(RTᶠᵒᵒᵈᵢ − ŘTᶠᵒᵒᵈᵢ)</w:t>
      </w:r>
    </w:p>
    <w:p>
      <w:pPr>
        <w:spacing w:after="80"/>
      </w:pPr>
      <w:r>
        <w:t>The expected food RT, ŘTᶠᵒᵒᵈᵢ, could be estimated from neutral-cue RT, adaptive response-window duration, probe number, recent response speed, and hit/miss status. Given only 30 probes per participant, this residualization should ideally be estimated hierarchically across participants.</w:t>
      </w:r>
    </w:p>
    <w:p>
      <w:pPr>
        <w:pStyle w:val="Heading1"/>
      </w:pPr>
      <w:r>
        <w:t>5. Alternative mechanisms that should be compared</w:t>
      </w:r>
    </w:p>
    <w:p>
      <w:pPr>
        <w:spacing w:after="80"/>
      </w:pPr>
      <w:r>
        <w:t>A motivational state can alter apparent learning through the choice policy rather than the value-update rule. The following competing models should be included in model recovery and empirical comparison:</w:t>
      </w:r>
    </w:p>
    <w:tbl>
      <w:tblPr>
        <w:tblStyle w:val="TableGrid"/>
        <w:tblW w:type="auto" w:w="0"/>
        <w:jc w:val="center"/>
        <w:tblLook w:firstColumn="1" w:firstRow="1" w:lastColumn="0" w:lastRow="0" w:noHBand="0" w:noVBand="1" w:val="04A0"/>
      </w:tblPr>
      <w:tblGrid>
        <w:gridCol w:w="5256"/>
        <w:gridCol w:w="5256"/>
      </w:tblGrid>
      <w:tr>
        <w:tc>
          <w:tcPr>
            <w:tcW w:type="dxa" w:w="5256"/>
            <w:shd w:fill="D9EAF7"/>
            <w:vAlign w:val="center"/>
          </w:tcPr>
          <w:p>
            <w:pPr>
              <w:spacing w:after="0"/>
            </w:pPr>
            <w:r>
              <w:rPr>
                <w:rFonts w:ascii="Arial" w:hAnsi="Arial"/>
                <w:sz w:val="18"/>
              </w:rPr>
              <w:t>Candidate mechanism</w:t>
            </w:r>
          </w:p>
        </w:tc>
        <w:tc>
          <w:tcPr>
            <w:tcW w:type="dxa" w:w="5256"/>
            <w:shd w:fill="D9EAF7"/>
            <w:vAlign w:val="center"/>
          </w:tcPr>
          <w:p>
            <w:pPr>
              <w:spacing w:after="0"/>
            </w:pPr>
            <w:r>
              <w:rPr>
                <w:rFonts w:ascii="Arial" w:hAnsi="Arial"/>
                <w:sz w:val="18"/>
              </w:rPr>
              <w:t>Example specification</w:t>
            </w:r>
          </w:p>
        </w:tc>
      </w:tr>
      <w:tr>
        <w:tc>
          <w:tcPr>
            <w:tcW w:type="dxa" w:w="5256"/>
            <w:vAlign w:val="center"/>
          </w:tcPr>
          <w:p>
            <w:pPr>
              <w:spacing w:after="0"/>
            </w:pPr>
            <w:r>
              <w:rPr>
                <w:rFonts w:ascii="Arial" w:hAnsi="Arial"/>
                <w:sz w:val="18"/>
              </w:rPr>
              <w:t>Positive learning-rate modulation</w:t>
            </w:r>
          </w:p>
        </w:tc>
        <w:tc>
          <w:tcPr>
            <w:tcW w:type="dxa" w:w="5256"/>
            <w:vAlign w:val="center"/>
          </w:tcPr>
          <w:p>
            <w:pPr>
              <w:spacing w:after="0"/>
            </w:pPr>
            <w:r>
              <w:rPr>
                <w:rFonts w:ascii="Arial" w:hAnsi="Arial"/>
                <w:sz w:val="18"/>
              </w:rPr>
              <w:t>logit(α⁺ₜ) = η⁺₀ + φ⁺vₜ</w:t>
            </w:r>
          </w:p>
        </w:tc>
      </w:tr>
      <w:tr>
        <w:tc>
          <w:tcPr>
            <w:tcW w:type="dxa" w:w="5256"/>
            <w:vAlign w:val="center"/>
          </w:tcPr>
          <w:p>
            <w:pPr>
              <w:spacing w:after="0"/>
            </w:pPr>
            <w:r>
              <w:rPr>
                <w:rFonts w:ascii="Arial" w:hAnsi="Arial"/>
                <w:sz w:val="18"/>
              </w:rPr>
              <w:t>Negative learning-rate modulation</w:t>
            </w:r>
          </w:p>
        </w:tc>
        <w:tc>
          <w:tcPr>
            <w:tcW w:type="dxa" w:w="5256"/>
            <w:vAlign w:val="center"/>
          </w:tcPr>
          <w:p>
            <w:pPr>
              <w:spacing w:after="0"/>
            </w:pPr>
            <w:r>
              <w:rPr>
                <w:rFonts w:ascii="Arial" w:hAnsi="Arial"/>
                <w:sz w:val="18"/>
              </w:rPr>
              <w:t>logit(α⁻ₜ) = η⁻₀ + φ⁻vₜ</w:t>
            </w:r>
          </w:p>
        </w:tc>
      </w:tr>
      <w:tr>
        <w:tc>
          <w:tcPr>
            <w:tcW w:type="dxa" w:w="5256"/>
            <w:vAlign w:val="center"/>
          </w:tcPr>
          <w:p>
            <w:pPr>
              <w:spacing w:after="0"/>
            </w:pPr>
            <w:r>
              <w:rPr>
                <w:rFonts w:ascii="Arial" w:hAnsi="Arial"/>
                <w:sz w:val="18"/>
              </w:rPr>
              <w:t>Both learning rates</w:t>
            </w:r>
          </w:p>
        </w:tc>
        <w:tc>
          <w:tcPr>
            <w:tcW w:type="dxa" w:w="5256"/>
            <w:vAlign w:val="center"/>
          </w:tcPr>
          <w:p>
            <w:pPr>
              <w:spacing w:after="0"/>
            </w:pPr>
            <w:r>
              <w:rPr>
                <w:rFonts w:ascii="Arial" w:hAnsi="Arial"/>
                <w:sz w:val="18"/>
              </w:rPr>
              <w:t>Separate or shared slopes on α⁺ₜ and α⁻ₜ</w:t>
            </w:r>
          </w:p>
        </w:tc>
      </w:tr>
      <w:tr>
        <w:tc>
          <w:tcPr>
            <w:tcW w:type="dxa" w:w="5256"/>
            <w:vAlign w:val="center"/>
          </w:tcPr>
          <w:p>
            <w:pPr>
              <w:spacing w:after="0"/>
            </w:pPr>
            <w:r>
              <w:rPr>
                <w:rFonts w:ascii="Arial" w:hAnsi="Arial"/>
                <w:sz w:val="18"/>
              </w:rPr>
              <w:t>Inverse-temperature modulation</w:t>
            </w:r>
          </w:p>
        </w:tc>
        <w:tc>
          <w:tcPr>
            <w:tcW w:type="dxa" w:w="5256"/>
            <w:vAlign w:val="center"/>
          </w:tcPr>
          <w:p>
            <w:pPr>
              <w:spacing w:after="0"/>
            </w:pPr>
            <w:r>
              <w:rPr>
                <w:rFonts w:ascii="Arial" w:hAnsi="Arial"/>
                <w:sz w:val="18"/>
              </w:rPr>
              <w:t>log(βₜ) = b₀ + γβvₜ</w:t>
            </w:r>
          </w:p>
        </w:tc>
      </w:tr>
      <w:tr>
        <w:tc>
          <w:tcPr>
            <w:tcW w:type="dxa" w:w="5256"/>
            <w:vAlign w:val="center"/>
          </w:tcPr>
          <w:p>
            <w:pPr>
              <w:spacing w:after="0"/>
            </w:pPr>
            <w:r>
              <w:rPr>
                <w:rFonts w:ascii="Arial" w:hAnsi="Arial"/>
                <w:sz w:val="18"/>
              </w:rPr>
              <w:t>Perseveration modulation</w:t>
            </w:r>
          </w:p>
        </w:tc>
        <w:tc>
          <w:tcPr>
            <w:tcW w:type="dxa" w:w="5256"/>
            <w:vAlign w:val="center"/>
          </w:tcPr>
          <w:p>
            <w:pPr>
              <w:spacing w:after="0"/>
            </w:pPr>
            <w:r>
              <w:rPr>
                <w:rFonts w:ascii="Arial" w:hAnsi="Arial"/>
                <w:sz w:val="18"/>
              </w:rPr>
              <w:t>κₜ = κ₀ + γκvₜ</w:t>
            </w:r>
          </w:p>
        </w:tc>
      </w:tr>
      <w:tr>
        <w:tc>
          <w:tcPr>
            <w:tcW w:type="dxa" w:w="5256"/>
            <w:vAlign w:val="center"/>
          </w:tcPr>
          <w:p>
            <w:pPr>
              <w:spacing w:after="0"/>
            </w:pPr>
            <w:r>
              <w:rPr>
                <w:rFonts w:ascii="Arial" w:hAnsi="Arial"/>
                <w:sz w:val="18"/>
              </w:rPr>
              <w:t>Immediate choice bias</w:t>
            </w:r>
          </w:p>
        </w:tc>
        <w:tc>
          <w:tcPr>
            <w:tcW w:type="dxa" w:w="5256"/>
            <w:vAlign w:val="center"/>
          </w:tcPr>
          <w:p>
            <w:pPr>
              <w:spacing w:after="0"/>
            </w:pPr>
            <w:r>
              <w:rPr>
                <w:rFonts w:ascii="Arial" w:hAnsi="Arial"/>
                <w:sz w:val="18"/>
              </w:rPr>
              <w:t>Add a vigor-dependent term directly to the action utility</w:t>
            </w:r>
          </w:p>
        </w:tc>
      </w:tr>
    </w:tbl>
    <w:p>
      <w:pPr>
        <w:spacing w:after="80"/>
      </w:pPr>
      <w:r>
        <w:t>Only after recovery shows that these mechanisms can be distinguished should φ be interpreted specifically as modulation of learning.</w:t>
      </w:r>
    </w:p>
    <w:p>
      <w:pPr>
        <w:pStyle w:val="Heading1"/>
      </w:pPr>
      <w:r>
        <w:t>6. Reward-history control</w:t>
      </w:r>
    </w:p>
    <w:p>
      <w:pPr>
        <w:pStyle w:val="Equation"/>
        <w:jc w:val="center"/>
      </w:pPr>
      <w:r>
        <w:t>cₜ = λcₜ₋₁ + rₜ₋₁</w:t>
      </w:r>
    </w:p>
    <w:p>
      <w:pPr>
        <w:spacing w:after="80"/>
      </w:pPr>
      <w:r>
        <w:t>The reward trace is causal because it uses prior outcomes only. The joint model is conceptually useful, but λ = 0.6 is fixed without empirical justification. Sensitivity analyses should evaluate several decay values or estimate a group-level decay parameter. Controls based on previous reward, recent prediction error, unsigned surprise, recent choice RT, and neutral MID RT should also be considered.</w:t>
      </w:r>
    </w:p>
    <w:p>
      <w:pPr>
        <w:pStyle w:val="Heading1"/>
      </w:pPr>
      <w:r>
        <w:t>7. Estimation and statistical inference</w:t>
      </w:r>
    </w:p>
    <w:p>
      <w:pPr>
        <w:spacing w:after="80"/>
      </w:pPr>
      <w:r>
        <w:t>The use of bounded L-BFGS-B optimization, numerically stable log-sum-exp calculations, and multiple starting values is appropriate. Individual maximum-likelihood estimates are suitable for preliminary quality control and trialwise replay, but the dynamic φ parameter is likely to be noisy because the state changes only about 16 times per participant.</w:t>
      </w:r>
    </w:p>
    <w:p>
      <w:pPr>
        <w:spacing w:after="80"/>
      </w:pPr>
      <w:r>
        <w:t>The primary group analysis should use hierarchical estimation so individual and group parameters are estimated jointly. Group relationships should not be tested by simply correlating noisy participant-level maximum-likelihood point estimates.</w:t>
      </w:r>
    </w:p>
    <w:p>
      <w:pPr>
        <w:spacing w:after="80"/>
      </w:pPr>
      <w:r>
        <w:t>The likelihood-ratio statistic is correctly computed as LR = 2[NLL_reduced − NLL_full]. Nevertheless, the chi-square approximation may be inaccurate for a weakly identified dynamic parameter. A simulated null distribution is preferable.</w:t>
      </w:r>
    </w:p>
    <w:p>
      <w:pPr>
        <w:spacing w:after="80"/>
      </w:pPr>
      <w:r>
        <w:t>The current trialwise permutation of the carried-forward vigor vector destroys its piecewise-constant temporal structure. Permutation should occur at the 16-probe level, followed by reconstruction of the original carry-forward epochs. Circular shifts or block permutations within reversal phases are additional reasonable null procedures.</w:t>
      </w:r>
    </w:p>
    <w:p>
      <w:pPr>
        <w:pStyle w:val="Heading1"/>
      </w:pPr>
      <w:r>
        <w:t>8. Trialwise regressors for neural analyses</w:t>
      </w:r>
    </w:p>
    <w:p>
      <w:pPr>
        <w:spacing w:after="80"/>
      </w:pPr>
      <w:r>
        <w:t>The current exports of pre-update Q values, chosen value, choice probability, prediction error, applied learning rate, dynamic α⁺, vigor state, and reward trace are appropriate. Recommended additional regressors are:</w:t>
      </w:r>
    </w:p>
    <w:p>
      <w:pPr>
        <w:pStyle w:val="ListBullet"/>
        <w:spacing w:after="40"/>
      </w:pPr>
      <w:r>
        <w:t>Chosen-versus-best-unchosen value difference: Qₜ(aₜ) − maxₐ≠aₜQₜ(a)</w:t>
      </w:r>
    </w:p>
    <w:p>
      <w:pPr>
        <w:pStyle w:val="ListBullet"/>
        <w:spacing w:after="40"/>
      </w:pPr>
      <w:r>
        <w:t>Choice entropy: −ΣⱼPₜ(j)logPₜ(j)</w:t>
      </w:r>
    </w:p>
    <w:p>
      <w:pPr>
        <w:pStyle w:val="ListBullet"/>
        <w:spacing w:after="40"/>
      </w:pPr>
      <w:r>
        <w:t>Positive prediction error: δ⁺ₜ = max(δₜ, 0)</w:t>
      </w:r>
    </w:p>
    <w:p>
      <w:pPr>
        <w:pStyle w:val="ListBullet"/>
        <w:spacing w:after="40"/>
      </w:pPr>
      <w:r>
        <w:t>Negative prediction error: δ⁻ₜ = min(δₜ, 0)</w:t>
      </w:r>
    </w:p>
    <w:p>
      <w:pPr>
        <w:pStyle w:val="ListBullet"/>
        <w:spacing w:after="40"/>
      </w:pPr>
      <w:r>
        <w:t>Unsigned prediction error or surprise: |δₜ|</w:t>
      </w:r>
    </w:p>
    <w:p>
      <w:pPr>
        <w:spacing w:after="80"/>
      </w:pPr>
      <w:r>
        <w:t>For iEEG or fMRI inference, trialwise regressors should preferably be generated from hierarchical parameter estimates or a leave-one-participant-out group prior rather than unconstrained individual estimates.</w:t>
      </w:r>
    </w:p>
    <w:p>
      <w:pPr>
        <w:pStyle w:val="Heading1"/>
      </w:pPr>
      <w:r>
        <w:t>9. Required validation before confirmatory use</w:t>
      </w:r>
    </w:p>
    <w:p>
      <w:pPr>
        <w:pStyle w:val="ListBullet"/>
        <w:spacing w:after="40"/>
      </w:pPr>
      <w:r>
        <w:t>Parameter recovery for α⁺, α⁻, β, κ, and φ under the exact 200-trial and 30-probe schedule.</w:t>
      </w:r>
    </w:p>
    <w:p>
      <w:pPr>
        <w:pStyle w:val="ListBullet"/>
        <w:spacing w:after="40"/>
      </w:pPr>
      <w:r>
        <w:t>Model recovery among M1, M2, M3, M4, M3 + φ, β-modulation, and κ-modulation models.</w:t>
      </w:r>
    </w:p>
    <w:p>
      <w:pPr>
        <w:pStyle w:val="ListBullet"/>
        <w:spacing w:after="40"/>
      </w:pPr>
      <w:r>
        <w:t>False-positive simulations under φ = 0.</w:t>
      </w:r>
    </w:p>
    <w:p>
      <w:pPr>
        <w:pStyle w:val="ListBullet"/>
        <w:spacing w:after="40"/>
      </w:pPr>
      <w:r>
        <w:t>Recovery under realistic RT noise, misses, staircase adaptation, and reward-history correlations.</w:t>
      </w:r>
    </w:p>
    <w:p>
      <w:pPr>
        <w:pStyle w:val="ListBullet"/>
        <w:spacing w:after="40"/>
      </w:pPr>
      <w:r>
        <w:t>Sensitivity to the number and placement of MID probes and to the reward-trace decay parameter.</w:t>
      </w:r>
    </w:p>
    <w:p>
      <w:pPr>
        <w:pStyle w:val="ListBullet"/>
        <w:spacing w:after="40"/>
      </w:pPr>
      <w:r>
        <w:t>Posterior predictive or simulation-based checks showing that the fitted model reproduces choice accuracy, switching, perseveration, and reversal adaptation.</w:t>
      </w:r>
    </w:p>
    <w:p>
      <w:pPr>
        <w:pStyle w:val="Heading1"/>
      </w:pPr>
      <w:r>
        <w:t>10. Priority revisions</w:t>
      </w:r>
    </w:p>
    <w:p>
      <w:pPr>
        <w:pStyle w:val="ListBullet"/>
        <w:spacing w:after="40"/>
      </w:pPr>
      <w:r>
        <w:t>Change TASK_VERSION from v14 to v15.</w:t>
      </w:r>
    </w:p>
    <w:p>
      <w:pPr>
        <w:pStyle w:val="ListBullet"/>
        <w:spacing w:after="40"/>
      </w:pPr>
      <w:r>
        <w:t>Rename “craving” variables and documentation to food-cue vigor unless craving validity is established.</w:t>
      </w:r>
    </w:p>
    <w:p>
      <w:pPr>
        <w:pStyle w:val="ListBullet"/>
        <w:spacing w:after="40"/>
      </w:pPr>
      <w:r>
        <w:t>Use a logistic link for dynamic learning rates instead of hard clipping.</w:t>
      </w:r>
    </w:p>
    <w:p>
      <w:pPr>
        <w:pStyle w:val="ListBullet"/>
        <w:spacing w:after="40"/>
      </w:pPr>
      <w:r>
        <w:t>Add the M3 + φ model and compare it with M3.</w:t>
      </w:r>
    </w:p>
    <w:p>
      <w:pPr>
        <w:pStyle w:val="ListBullet"/>
        <w:spacing w:after="40"/>
      </w:pPr>
      <w:r>
        <w:t>Model or control neutral MID RT, adaptive window, probe number, and hit/miss status.</w:t>
      </w:r>
    </w:p>
    <w:p>
      <w:pPr>
        <w:pStyle w:val="ListBullet"/>
        <w:spacing w:after="40"/>
      </w:pPr>
      <w:r>
        <w:t>Use probe-level or block-preserving permutation procedures.</w:t>
      </w:r>
    </w:p>
    <w:p>
      <w:pPr>
        <w:pStyle w:val="ListBullet"/>
        <w:spacing w:after="40"/>
      </w:pPr>
      <w:r>
        <w:t>Fit the final inferential model hierarchically.</w:t>
      </w:r>
    </w:p>
    <w:p>
      <w:pPr>
        <w:pStyle w:val="ListBullet"/>
        <w:spacing w:after="40"/>
      </w:pPr>
      <w:r>
        <w:t>Complete parameter recovery and model recovery before interpreting φ.</w:t>
      </w:r>
    </w:p>
    <w:p>
      <w:pPr>
        <w:pStyle w:val="Heading1"/>
      </w:pPr>
      <w:r>
        <w:t>Conclusion</w:t>
      </w:r>
    </w:p>
    <w:p>
      <w:pPr>
        <w:spacing w:after="80"/>
      </w:pPr>
      <w:r>
        <w:t>The core Q-learning pipeline is computationally accurate and suitable for preliminary characterization of learning, valence asymmetry, choice consistency, and perseveration. The novel MID-state modulation is plausible but should currently be treated as exploratory. With corrected nomenclature, a smooth dynamic-rate parameterization, perseveration-controlled comparison, food-specific vigor construction, hierarchical fitting, and successful recovery analyses, the approach could provide a defensible test of whether cue-evoked motivational vigor modulates reinforcement learning.</w:t>
      </w:r>
    </w:p>
    <w:p>
      <w:pPr>
        <w:pStyle w:val="Heading1"/>
      </w:pPr>
      <w:r>
        <w:t>References and computational precedents</w:t>
      </w:r>
    </w:p>
    <w:p>
      <w:pPr>
        <w:spacing w:after="80"/>
        <w:ind w:left="288" w:hanging="288"/>
      </w:pPr>
      <w:r>
        <w:t xml:space="preserve">Daw, N. D., Gershman, S. J., Seymour, B., Dayan, P., &amp; Dolan, R. J. (2011). Model-based influences on humans’ choices and striatal prediction errors. Neuron, 69(6), 1204–1215. </w:t>
      </w:r>
      <w:hyperlink r:id="rId9">
        <w:r>
          <w:rPr>
            <w:color w:val="0563C1"/>
            <w:u w:val="single"/>
          </w:rPr>
          <w:t>Link</w:t>
        </w:r>
      </w:hyperlink>
    </w:p>
    <w:p>
      <w:pPr>
        <w:spacing w:after="80"/>
        <w:ind w:left="288" w:hanging="288"/>
      </w:pPr>
      <w:r>
        <w:t xml:space="preserve">Palminteri, S., Lefebvre, G., Kilford, E. J., &amp; Blakemore, S.-J. (2017). Confirmation bias in human reinforcement learning: Evidence from counterfactual feedback processing. PLOS Computational Biology, 13(8), e1005684. </w:t>
      </w:r>
      <w:hyperlink r:id="rId10">
        <w:r>
          <w:rPr>
            <w:color w:val="0563C1"/>
            <w:u w:val="single"/>
          </w:rPr>
          <w:t>Link</w:t>
        </w:r>
      </w:hyperlink>
    </w:p>
    <w:p>
      <w:pPr>
        <w:spacing w:after="80"/>
        <w:ind w:left="288" w:hanging="288"/>
      </w:pPr>
      <w:r>
        <w:t xml:space="preserve">Wilson, R. C., &amp; Collins, A. G. E. (2019). Ten simple rules for the computational modeling of behavioral data. eLife, 8, e49547. </w:t>
      </w:r>
      <w:hyperlink r:id="rId11">
        <w:r>
          <w:rPr>
            <w:color w:val="0563C1"/>
            <w:u w:val="single"/>
          </w:rPr>
          <w:t>Link</w:t>
        </w:r>
      </w:hyperlink>
    </w:p>
    <w:p>
      <w:pPr>
        <w:spacing w:after="80"/>
        <w:ind w:left="288" w:hanging="288"/>
      </w:pPr>
      <w:r>
        <w:t xml:space="preserve">Ahn, W.-Y., Haines, N., &amp; Zhang, L. (2017). Revealing neurocomputational mechanisms of reinforcement learning and decision-making with the hBayesDM package. Computational Psychiatry, 1, 24–57. </w:t>
      </w:r>
      <w:hyperlink r:id="rId12">
        <w:r>
          <w:rPr>
            <w:color w:val="0563C1"/>
            <w:u w:val="single"/>
          </w:rPr>
          <w:t>Link</w:t>
        </w:r>
      </w:hyperlink>
    </w:p>
    <w:p>
      <w:pPr>
        <w:spacing w:after="80"/>
        <w:ind w:left="288" w:hanging="288"/>
      </w:pPr>
      <w:r>
        <w:t xml:space="preserve">Sugawara, M., Katahira, K., &amp; Okada, M. (2021). The role of choice perseveration in reinforcement learning. Scientific Reports. </w:t>
      </w:r>
      <w:hyperlink r:id="rId13">
        <w:r>
          <w:rPr>
            <w:color w:val="0563C1"/>
            <w:u w:val="single"/>
          </w:rPr>
          <w:t>Link</w:t>
        </w:r>
      </w:hyperlink>
    </w:p>
    <w:p>
      <w:pPr>
        <w:spacing w:after="80"/>
        <w:ind w:left="288" w:hanging="288"/>
      </w:pPr>
      <w:r>
        <w:t xml:space="preserve">Ciranka, S., et al. (2022). Asymmetric reinforcement learning facilitates human inference in partial-feedback environments. Nature Human Behaviour. </w:t>
      </w:r>
      <w:hyperlink r:id="rId14">
        <w:r>
          <w:rPr>
            <w:color w:val="0563C1"/>
            <w:u w:val="single"/>
          </w:rPr>
          <w:t>Link</w:t>
        </w:r>
      </w:hyperlink>
    </w:p>
    <w:p>
      <w:pPr>
        <w:spacing w:after="80"/>
        <w:ind w:left="288" w:hanging="288"/>
      </w:pPr>
      <w:r>
        <w:t xml:space="preserve">Kulkarni, A. R., et al. (2026). Momentary craving biases substance-specific reinforcement learning. Nature Mental Health. </w:t>
      </w:r>
      <w:hyperlink r:id="rId15">
        <w:r>
          <w:rPr>
            <w:color w:val="0563C1"/>
            <w:u w:val="single"/>
          </w:rPr>
          <w:t>Link</w:t>
        </w:r>
      </w:hyperlink>
    </w:p>
    <w:sectPr w:rsidR="00FC693F" w:rsidRPr="0006063C" w:rsidSect="00034616">
      <w:footerReference w:type="default" r:id="rId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Bandit–MID RL script evaluation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pPr>
    <w:rPr>
      <w:rFonts w:ascii="Cambria Math" w:hAnsi="Cambria Math" w:eastAsia="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neuron.2011.02.027" TargetMode="External"/><Relationship Id="rId10" Type="http://schemas.openxmlformats.org/officeDocument/2006/relationships/hyperlink" Target="https://doi.org/10.1371/journal.pcbi.1005684" TargetMode="External"/><Relationship Id="rId11" Type="http://schemas.openxmlformats.org/officeDocument/2006/relationships/hyperlink" Target="https://doi.org/10.7554/eLife.49547" TargetMode="External"/><Relationship Id="rId12" Type="http://schemas.openxmlformats.org/officeDocument/2006/relationships/hyperlink" Target="https://doi.org/10.1162/CPSY_a_00002" TargetMode="External"/><Relationship Id="rId13" Type="http://schemas.openxmlformats.org/officeDocument/2006/relationships/hyperlink" Target="https://www.nature.com/articles/s41598-020-80593-7" TargetMode="External"/><Relationship Id="rId14" Type="http://schemas.openxmlformats.org/officeDocument/2006/relationships/hyperlink" Target="https://www.nature.com/articles/s41562-021-01263-w" TargetMode="External"/><Relationship Id="rId15" Type="http://schemas.openxmlformats.org/officeDocument/2006/relationships/hyperlink" Target="https://www.nature.com/articles/s44220-026-00593-w"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