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sz w:val="32"/>
          <w:szCs w:val="32"/>
        </w:rPr>
        <w:t xml:space="preserve">Craving-Modulated Food Bandit — Project State &amp; Session Summary</w:t>
      </w:r>
    </w:p>
    <w:p>
      <w:pPr>
        <w:spacing w:after="200"/>
      </w:pPr>
      <w:r>
        <w:rPr>
          <w:rFonts w:ascii="Arial" w:cs="Arial" w:eastAsia="Arial" w:hAnsi="Arial"/>
          <w:b w:val="false"/>
          <w:bCs w:val="false"/>
          <w:i/>
          <w:iCs/>
          <w:sz w:val="20"/>
          <w:szCs w:val="20"/>
        </w:rPr>
        <w:t xml:space="preserve">Working reference for the bandit + embedded mini-MID (“Hamburglar”) paradigm, its analysis pipeline, and the RL modeling. Written so this thread can be resumed from a cold start.</w:t>
      </w:r>
    </w:p>
    <w:p>
      <w:pPr>
        <w:pBdr>
          <w:bottom w:val="single" w:color="000000" w:sz="6"/>
        </w:pBdr>
        <w:spacing w:after="120" w:before="260"/>
      </w:pPr>
      <w:r>
        <w:rPr>
          <w:rFonts w:ascii="Arial" w:cs="Arial" w:eastAsia="Arial" w:hAnsi="Arial"/>
          <w:b/>
          <w:bCs/>
          <w:i w:val="false"/>
          <w:iCs w:val="false"/>
          <w:sz w:val="30"/>
          <w:szCs w:val="30"/>
        </w:rPr>
        <w:t xml:space="preserve">1. Purpose of this document</w:t>
      </w:r>
    </w:p>
    <w:p>
      <w:pPr>
        <w:spacing w:after="120" w:line="264"/>
      </w:pPr>
      <w:r>
        <w:rPr>
          <w:rFonts w:ascii="Arial" w:cs="Arial" w:eastAsia="Arial" w:hAnsi="Arial"/>
          <w:b w:val="false"/>
          <w:bCs w:val="false"/>
          <w:i w:val="false"/>
          <w:iCs w:val="false"/>
          <w:sz w:val="22"/>
          <w:szCs w:val="22"/>
        </w:rPr>
        <w:t xml:space="preserve">This captures the state of the project and everything decided in this working session, at enough detail to reconstruct context later. It is a handoff/reference, not a results report. Where a decision was made, the rationale is recorded so it is not re-litigated. File names refer to the versions saved in the working outputs folder at the end of the session.</w:t>
      </w:r>
    </w:p>
    <w:p>
      <w:pPr>
        <w:pBdr>
          <w:bottom w:val="single" w:color="000000" w:sz="6"/>
        </w:pBdr>
        <w:spacing w:after="120" w:before="260"/>
      </w:pPr>
      <w:r>
        <w:rPr>
          <w:rFonts w:ascii="Arial" w:cs="Arial" w:eastAsia="Arial" w:hAnsi="Arial"/>
          <w:b/>
          <w:bCs/>
          <w:i w:val="false"/>
          <w:iCs w:val="false"/>
          <w:sz w:val="30"/>
          <w:szCs w:val="30"/>
        </w:rPr>
        <w:t xml:space="preserve">2. Project context</w:t>
      </w:r>
    </w:p>
    <w:p>
      <w:pPr>
        <w:spacing w:after="120" w:line="264"/>
      </w:pPr>
      <w:r>
        <w:rPr>
          <w:rFonts w:ascii="Arial" w:cs="Arial" w:eastAsia="Arial" w:hAnsi="Arial"/>
          <w:b/>
          <w:bCs/>
          <w:i w:val="false"/>
          <w:iCs w:val="false"/>
          <w:sz w:val="22"/>
          <w:szCs w:val="22"/>
        </w:rPr>
        <w:t xml:space="preserve">Investigator/framing. </w:t>
      </w:r>
      <w:r>
        <w:rPr>
          <w:rFonts w:ascii="Arial" w:cs="Arial" w:eastAsia="Arial" w:hAnsi="Arial"/>
          <w:b w:val="false"/>
          <w:bCs w:val="false"/>
          <w:i w:val="false"/>
          <w:iCs w:val="false"/>
          <w:sz w:val="22"/>
          <w:szCs w:val="22"/>
        </w:rPr>
        <w:t xml:space="preserve">Behavioral-neuroscience study, publication-oriented, using intracranial EEG (iEEG). The paradigm asks whether food-cued incentive salience (“craving”) dynamically modulates reinforcement-learning parameters, chiefly the positive learning rate α+ and value sensitivity β, and whether that is detectable in nucleus accumbens (NAcc) signals.</w:t>
      </w:r>
    </w:p>
    <w:p>
      <w:pPr>
        <w:spacing w:after="120" w:line="264"/>
      </w:pPr>
      <w:r>
        <w:rPr>
          <w:rFonts w:ascii="Arial" w:cs="Arial" w:eastAsia="Arial" w:hAnsi="Arial"/>
          <w:b/>
          <w:bCs/>
          <w:i w:val="false"/>
          <w:iCs w:val="false"/>
          <w:sz w:val="22"/>
          <w:szCs w:val="22"/>
        </w:rPr>
        <w:t xml:space="preserve">Theoretical anchor. </w:t>
      </w:r>
      <w:r>
        <w:rPr>
          <w:rFonts w:ascii="Arial" w:cs="Arial" w:eastAsia="Arial" w:hAnsi="Arial"/>
          <w:b w:val="false"/>
          <w:bCs w:val="false"/>
          <w:i w:val="false"/>
          <w:iCs w:val="false"/>
          <w:sz w:val="22"/>
          <w:szCs w:val="22"/>
        </w:rPr>
        <w:t xml:space="preserve">Kulkarni et al. 2026 (Nature Mental Health). Their α-bias model makes the learning rate move with momentary craving: α_t = α_static + φ·craving_t. φ is the modulation parameter (φ &gt; 0 = craving speeds learning). They measured craving explicitly by rating prompts on ~33% of trials (mood on 20%) and up-sampled those ratings to a per-trial series.</w:t>
      </w:r>
    </w:p>
    <w:p>
      <w:pPr>
        <w:spacing w:after="120" w:line="264"/>
      </w:pPr>
      <w:r>
        <w:rPr>
          <w:rFonts w:ascii="Arial" w:cs="Arial" w:eastAsia="Arial" w:hAnsi="Arial"/>
          <w:b/>
          <w:bCs/>
          <w:i w:val="false"/>
          <w:iCs w:val="false"/>
          <w:sz w:val="22"/>
          <w:szCs w:val="22"/>
        </w:rPr>
        <w:t xml:space="preserve">This adaptation. </w:t>
      </w:r>
      <w:r>
        <w:rPr>
          <w:rFonts w:ascii="Arial" w:cs="Arial" w:eastAsia="Arial" w:hAnsi="Arial"/>
          <w:b w:val="false"/>
          <w:bCs w:val="false"/>
          <w:i w:val="false"/>
          <w:iCs w:val="false"/>
          <w:sz w:val="22"/>
          <w:szCs w:val="22"/>
        </w:rPr>
        <w:t xml:space="preserve">Three-arm bandit with food-picture win outcomes (sweet vs savory, manipulated between subjects), an embedded mini-MID that provides an implicit craving readout, and iEEG rather than a group behavioral design. Primary behavioral DV: a residualized food-cued incentive vigor z-score (food_cued_vigor_residualized_z). Primary neural targets: feedback-locked reward-prediction-error and choice-locked state-value signals in NAcc.</w:t>
      </w:r>
    </w:p>
    <w:p>
      <w:pPr>
        <w:pBdr>
          <w:bottom w:val="single" w:color="000000" w:sz="6"/>
        </w:pBdr>
        <w:spacing w:after="120" w:before="260"/>
      </w:pPr>
      <w:r>
        <w:rPr>
          <w:rFonts w:ascii="Arial" w:cs="Arial" w:eastAsia="Arial" w:hAnsi="Arial"/>
          <w:b/>
          <w:bCs/>
          <w:i w:val="false"/>
          <w:iCs w:val="false"/>
          <w:sz w:val="30"/>
          <w:szCs w:val="30"/>
        </w:rPr>
        <w:t xml:space="preserve">3. Task design and current parameters</w:t>
      </w:r>
    </w:p>
    <w:p>
      <w:pPr>
        <w:spacing w:after="120" w:line="264"/>
      </w:pPr>
      <w:r>
        <w:rPr>
          <w:rFonts w:ascii="Arial" w:cs="Arial" w:eastAsia="Arial" w:hAnsi="Arial"/>
          <w:b w:val="false"/>
          <w:bCs w:val="false"/>
          <w:i w:val="false"/>
          <w:iCs w:val="false"/>
          <w:sz w:val="22"/>
          <w:szCs w:val="22"/>
        </w:rPr>
        <w:t xml:space="preserve">The task (PsychoPy, bandit_mid_task) interleaves 200 bandit trials with 30 mini-MID bonus probes. Bandit wins display a food image; that is what makes recent-win history a food-appetitive signal. The mini-MID probes are a speeded target-detection task whose response window is set by an adaptive staircase; the food-cue vigor from these probes is the intended trial-wise craving signal (see §6).</w:t>
      </w:r>
    </w:p>
    <w:p>
      <w:pPr>
        <w:spacing w:after="80"/>
      </w:pPr>
      <w:r>
        <w:rPr>
          <w:rFonts w:ascii="Arial" w:cs="Arial" w:eastAsia="Arial" w:hAnsi="Arial"/>
          <w:b w:val="false"/>
          <w:bCs w:val="false"/>
          <w:i w:val="false"/>
          <w:iCs w:val="false"/>
          <w:sz w:val="22"/>
          <w:szCs w:val="22"/>
        </w:rPr>
        <w:t xml:space="preserve"/>
      </w:r>
    </w:p>
    <w:tbl>
      <w:tblPr>
        <w:tblW w:type="dxa" w:w="10800"/>
        <w:tblBorders>
          <w:top w:val="single" w:color="888888" w:sz="4"/>
          <w:left w:val="single" w:color="888888" w:sz="4"/>
          <w:bottom w:val="single" w:color="888888" w:sz="4"/>
          <w:right w:val="single" w:color="888888" w:sz="4"/>
          <w:insideH w:val="single" w:color="BBBBBB" w:sz="4"/>
          <w:insideV w:val="single" w:color="BBBBBB" w:sz="4"/>
        </w:tblBorders>
      </w:tblPr>
      <w:tblGrid>
        <w:gridCol w:w="2400"/>
        <w:gridCol w:w="2200"/>
        <w:gridCol w:w="6200"/>
      </w:tblGrid>
      <w:tr>
        <w:trPr>
          <w:tblHeader/>
        </w:trPr>
        <w:tc>
          <w:tcPr>
            <w:tcW w:type="dxa" w:w="24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Parameter</w:t>
            </w:r>
          </w:p>
        </w:tc>
        <w:tc>
          <w:tcPr>
            <w:tcW w:type="dxa" w:w="22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Value</w:t>
            </w:r>
          </w:p>
        </w:tc>
        <w:tc>
          <w:tcPr>
            <w:tcW w:type="dxa" w:w="62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Notes</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Bandit trials</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200</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Reward probabilities 80 / 50 / 30 across the three arms</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Reversals</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trials 69 and 130</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Contingencies swap; values carry over (no reset)</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MID probes</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16 food + 14 neutral</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Unchanged this session (probe count drives φ power)</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Staircase target</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~66% hit rate</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Hit → window −15 ms; slow miss → window +30 ms</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Premature press</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window frozen (unchanged)</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A too-early press does not move the staircase; deterred instead</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Start window</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400 ms (was 450)</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Lowered this session to shorten burn-in (see §5.1)</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Floor / ceiling</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230 ms / 600 ms</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Floor lowered from 250; a 205 value was floated then set to 230</w:t>
            </w:r>
          </w:p>
        </w:tc>
      </w:tr>
      <w:tr>
        <w:tc>
          <w:tcPr>
            <w:tcW w:type="dxa" w:w="24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Bonus points</w:t>
            </w:r>
          </w:p>
        </w:tc>
        <w:tc>
          <w:tcPr>
            <w:tcW w:type="dxa" w:w="2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15, fixed</w:t>
            </w:r>
          </w:p>
        </w:tc>
        <w:tc>
          <w:tcPr>
            <w:tcW w:type="dxa" w:w="6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Constant across cue types by design (isolates picture value)</w:t>
            </w:r>
          </w:p>
        </w:tc>
      </w:tr>
    </w:tbl>
    <w:p>
      <w:pPr>
        <w:spacing w:after="80"/>
      </w:pPr>
      <w:r>
        <w:rPr>
          <w:rFonts w:ascii="Arial" w:cs="Arial" w:eastAsia="Arial" w:hAnsi="Arial"/>
          <w:b w:val="false"/>
          <w:bCs w:val="false"/>
          <w:i w:val="false"/>
          <w:iCs w:val="false"/>
          <w:sz w:val="22"/>
          <w:szCs w:val="22"/>
        </w:rPr>
        <w:t xml:space="preserve"/>
      </w:r>
    </w:p>
    <w:p>
      <w:pPr>
        <w:spacing w:after="120" w:line="264"/>
      </w:pPr>
      <w:r>
        <w:rPr>
          <w:rFonts w:ascii="Arial" w:cs="Arial" w:eastAsia="Arial" w:hAnsi="Arial"/>
          <w:b/>
          <w:bCs/>
          <w:i w:val="false"/>
          <w:iCs w:val="false"/>
          <w:sz w:val="22"/>
          <w:szCs w:val="22"/>
        </w:rPr>
        <w:t xml:space="preserve">Deployment note. </w:t>
      </w:r>
      <w:r>
        <w:rPr>
          <w:rFonts w:ascii="Arial" w:cs="Arial" w:eastAsia="Arial" w:hAnsi="Arial"/>
          <w:b w:val="false"/>
          <w:bCs w:val="false"/>
          <w:i w:val="false"/>
          <w:iCs w:val="false"/>
          <w:sz w:val="22"/>
          <w:szCs w:val="22"/>
        </w:rPr>
        <w:t xml:space="preserve">bandit_mid_task_v14.py contains the premature-deterrent work (§5.2). The start = 400 and floor = 230 values were decided later in the session; confirm the deployed script carries them before the next run.</w:t>
      </w:r>
    </w:p>
    <w:p>
      <w:pPr>
        <w:pBdr>
          <w:bottom w:val="single" w:color="000000" w:sz="6"/>
        </w:pBdr>
        <w:spacing w:after="120" w:before="260"/>
      </w:pPr>
      <w:r>
        <w:rPr>
          <w:rFonts w:ascii="Arial" w:cs="Arial" w:eastAsia="Arial" w:hAnsi="Arial"/>
          <w:b/>
          <w:bCs/>
          <w:i w:val="false"/>
          <w:iCs w:val="false"/>
          <w:sz w:val="30"/>
          <w:szCs w:val="30"/>
        </w:rPr>
        <w:t xml:space="preserve">4. Data reviewed this session</w:t>
      </w:r>
    </w:p>
    <w:p>
      <w:pPr>
        <w:spacing w:after="120" w:line="264"/>
      </w:pPr>
      <w:r>
        <w:rPr>
          <w:rFonts w:ascii="Arial" w:cs="Arial" w:eastAsia="Arial" w:hAnsi="Arial"/>
          <w:b w:val="false"/>
          <w:bCs w:val="false"/>
          <w:i w:val="false"/>
          <w:iCs w:val="false"/>
          <w:sz w:val="22"/>
          <w:szCs w:val="22"/>
        </w:rPr>
        <w:t xml:space="preserve">Two reviews: an initial 4 pilot subjects on v13, then 8 subjects total. Of the 8, five are v13 (grid-001, 002, 003, 004, 006) and three are v14 (grid-007, 009, 010). Uploaded summaries came in two copies; the newer hash-suffixed files hold the 8-subject data.</w:t>
      </w:r>
    </w:p>
    <w:p>
      <w:pPr>
        <w:pStyle w:val="ListParagraph"/>
        <w:numPr>
          <w:ilvl w:val="0"/>
          <w:numId w:val="1"/>
        </w:numPr>
        <w:spacing w:after="60" w:line="264"/>
      </w:pPr>
      <w:r>
        <w:rPr>
          <w:rFonts w:ascii="Arial" w:cs="Arial" w:eastAsia="Arial" w:hAnsi="Arial"/>
          <w:b/>
          <w:bCs/>
          <w:i w:val="false"/>
          <w:iCs w:val="false"/>
          <w:sz w:val="22"/>
          <w:szCs w:val="22"/>
        </w:rPr>
        <w:t xml:space="preserve">Premature deterrent works. </w:t>
      </w:r>
      <w:r>
        <w:rPr>
          <w:rFonts w:ascii="Arial" w:cs="Arial" w:eastAsia="Arial" w:hAnsi="Arial"/>
          <w:b w:val="false"/>
          <w:bCs w:val="false"/>
          <w:i w:val="false"/>
          <w:iCs w:val="false"/>
          <w:sz w:val="22"/>
          <w:szCs w:val="22"/>
        </w:rPr>
        <w:t xml:space="preserve">v14 subjects show premature rates ≤ 6.7% and zero no-response, versus up to 16.7% on v13, with valid RTs per cue rising to 13–16.</w:t>
      </w:r>
    </w:p>
    <w:p>
      <w:pPr>
        <w:pStyle w:val="ListParagraph"/>
        <w:numPr>
          <w:ilvl w:val="0"/>
          <w:numId w:val="1"/>
        </w:numPr>
        <w:spacing w:after="60" w:line="264"/>
      </w:pPr>
      <w:r>
        <w:rPr>
          <w:rFonts w:ascii="Arial" w:cs="Arial" w:eastAsia="Arial" w:hAnsi="Arial"/>
          <w:b/>
          <w:bCs/>
          <w:i w:val="false"/>
          <w:iCs w:val="false"/>
          <w:sz w:val="22"/>
          <w:szCs w:val="22"/>
        </w:rPr>
        <w:t xml:space="preserve">Staircase runs hot. </w:t>
      </w:r>
      <w:r>
        <w:rPr>
          <w:rFonts w:ascii="Arial" w:cs="Arial" w:eastAsia="Arial" w:hAnsi="Arial"/>
          <w:b w:val="false"/>
          <w:bCs w:val="false"/>
          <w:i w:val="false"/>
          <w:iCs w:val="false"/>
          <w:sz w:val="22"/>
          <w:szCs w:val="22"/>
        </w:rPr>
        <w:t xml:space="preserve">v14 overall hit rate 0.77–0.80 vs the 0.667 target. Cause is start-window burn-in plus fast subjects binding at the floor; the second-half hit rate is already ~0.67. Simulation showed start 450 → 0.79, 400 → 0.75, 375 → 0.73, so 400 recovers most of the gain while preserving headroom for slow subjects.</w:t>
      </w:r>
    </w:p>
    <w:p>
      <w:pPr>
        <w:pStyle w:val="ListParagraph"/>
        <w:numPr>
          <w:ilvl w:val="0"/>
          <w:numId w:val="1"/>
        </w:numPr>
        <w:spacing w:after="60" w:line="264"/>
      </w:pPr>
      <w:r>
        <w:rPr>
          <w:rFonts w:ascii="Arial" w:cs="Arial" w:eastAsia="Arial" w:hAnsi="Arial"/>
          <w:b/>
          <w:bCs/>
          <w:i w:val="false"/>
          <w:iCs w:val="false"/>
          <w:sz w:val="22"/>
          <w:szCs w:val="22"/>
        </w:rPr>
        <w:t xml:space="preserve">grid-006 is a fatigue case, not a non-learner. </w:t>
      </w:r>
      <w:r>
        <w:rPr>
          <w:rFonts w:ascii="Arial" w:cs="Arial" w:eastAsia="Arial" w:hAnsi="Arial"/>
          <w:b w:val="false"/>
          <w:bCs w:val="false"/>
          <w:i w:val="false"/>
          <w:iCs w:val="false"/>
          <w:sz w:val="22"/>
          <w:szCs w:val="22"/>
        </w:rPr>
        <w:t xml:space="preserve">Phase-wise optimal 0.85 → 0.72 → 0.37 with RT dropping; overall optimal 0.64 (p ≈ 0). It learned then disengaged late. This drove the learning-gate redesign (§5.3).</w:t>
      </w:r>
    </w:p>
    <w:p>
      <w:pPr>
        <w:pStyle w:val="ListParagraph"/>
        <w:numPr>
          <w:ilvl w:val="0"/>
          <w:numId w:val="1"/>
        </w:numPr>
        <w:spacing w:after="60" w:line="264"/>
      </w:pPr>
      <w:r>
        <w:rPr>
          <w:rFonts w:ascii="Arial" w:cs="Arial" w:eastAsia="Arial" w:hAnsi="Arial"/>
          <w:b/>
          <w:bCs/>
          <w:i w:val="false"/>
          <w:iCs w:val="false"/>
          <w:sz w:val="22"/>
          <w:szCs w:val="22"/>
        </w:rPr>
        <w:t xml:space="preserve">Deterministic subjects. </w:t>
      </w:r>
      <w:r>
        <w:rPr>
          <w:rFonts w:ascii="Arial" w:cs="Arial" w:eastAsia="Arial" w:hAnsi="Arial"/>
          <w:b w:val="false"/>
          <w:bCs w:val="false"/>
          <w:i w:val="false"/>
          <w:iCs w:val="false"/>
          <w:sz w:val="22"/>
          <w:szCs w:val="22"/>
        </w:rPr>
        <w:t xml:space="preserve">grid-004 and grid-010 have low α and high β; β is inflated when stickiness κ is omitted, so report β from the κ-inclusive model (M3).</w:t>
      </w:r>
    </w:p>
    <w:p>
      <w:pPr>
        <w:pStyle w:val="ListParagraph"/>
        <w:numPr>
          <w:ilvl w:val="0"/>
          <w:numId w:val="1"/>
        </w:numPr>
        <w:spacing w:after="60" w:line="264"/>
      </w:pPr>
      <w:r>
        <w:rPr>
          <w:rFonts w:ascii="Arial" w:cs="Arial" w:eastAsia="Arial" w:hAnsi="Arial"/>
          <w:b/>
          <w:bCs/>
          <w:i w:val="false"/>
          <w:iCs w:val="false"/>
          <w:sz w:val="22"/>
          <w:szCs w:val="22"/>
        </w:rPr>
        <w:t xml:space="preserve">Vigor DV. </w:t>
      </w:r>
      <w:r>
        <w:rPr>
          <w:rFonts w:ascii="Arial" w:cs="Arial" w:eastAsia="Arial" w:hAnsi="Arial"/>
          <w:b w:val="false"/>
          <w:bCs w:val="false"/>
          <w:i w:val="false"/>
          <w:iCs w:val="false"/>
          <w:sz w:val="22"/>
          <w:szCs w:val="22"/>
        </w:rPr>
        <w:t xml:space="preserve">food_cued_vigor_residualized_z is populated at n = 8; the food-minus-neutral RT contrast is null at this n, as expected.</w:t>
      </w:r>
    </w:p>
    <w:p>
      <w:pPr>
        <w:pBdr>
          <w:bottom w:val="single" w:color="000000" w:sz="6"/>
        </w:pBdr>
        <w:spacing w:after="120" w:before="260"/>
      </w:pPr>
      <w:r>
        <w:rPr>
          <w:rFonts w:ascii="Arial" w:cs="Arial" w:eastAsia="Arial" w:hAnsi="Arial"/>
          <w:b/>
          <w:bCs/>
          <w:i w:val="false"/>
          <w:iCs w:val="false"/>
          <w:sz w:val="30"/>
          <w:szCs w:val="30"/>
        </w:rPr>
        <w:t xml:space="preserve">5. Work completed this session</w:t>
      </w:r>
    </w:p>
    <w:p>
      <w:pPr>
        <w:spacing w:after="80" w:before="200"/>
      </w:pPr>
      <w:r>
        <w:rPr>
          <w:rFonts w:ascii="Arial" w:cs="Arial" w:eastAsia="Arial" w:hAnsi="Arial"/>
          <w:b/>
          <w:bCs/>
          <w:i w:val="false"/>
          <w:iCs w:val="false"/>
          <w:sz w:val="24"/>
          <w:szCs w:val="24"/>
        </w:rPr>
        <w:t xml:space="preserve">5.1 Task: staircase</w:t>
      </w:r>
    </w:p>
    <w:p>
      <w:pPr>
        <w:spacing w:after="120" w:line="264"/>
      </w:pPr>
      <w:r>
        <w:rPr>
          <w:rFonts w:ascii="Arial" w:cs="Arial" w:eastAsia="Arial" w:hAnsi="Arial"/>
          <w:b w:val="false"/>
          <w:bCs w:val="false"/>
          <w:i w:val="false"/>
          <w:iCs w:val="false"/>
          <w:sz w:val="22"/>
          <w:szCs w:val="22"/>
        </w:rPr>
        <w:t xml:space="preserve">Start window lowered 450 → 400 to cut burn-in; floor lowered to 230 for the fast tail; probe counts left at 16/14. The premature freeze rule was kept (a too-early press carries no information about target-response speed, so it should not move the window).</w:t>
      </w:r>
    </w:p>
    <w:p>
      <w:pPr>
        <w:spacing w:after="80" w:before="200"/>
      </w:pPr>
      <w:r>
        <w:rPr>
          <w:rFonts w:ascii="Arial" w:cs="Arial" w:eastAsia="Arial" w:hAnsi="Arial"/>
          <w:b/>
          <w:bCs/>
          <w:i w:val="false"/>
          <w:iCs w:val="false"/>
          <w:sz w:val="24"/>
          <w:szCs w:val="24"/>
        </w:rPr>
        <w:t xml:space="preserve">5.2 Task: premature deterrent (bandit_mid_task_v14.py)</w:t>
      </w:r>
    </w:p>
    <w:p>
      <w:pPr>
        <w:spacing w:after="120" w:line="264"/>
      </w:pPr>
      <w:r>
        <w:rPr>
          <w:rFonts w:ascii="Arial" w:cs="Arial" w:eastAsia="Arial" w:hAnsi="Arial"/>
          <w:b w:val="false"/>
          <w:bCs w:val="false"/>
          <w:i w:val="false"/>
          <w:iCs w:val="false"/>
          <w:sz w:val="22"/>
          <w:szCs w:val="22"/>
        </w:rPr>
        <w:t xml:space="preserve">The v13 script already showed a “Too soon!” message and instructed “wait for the square.” The gap was that anticipating cost nothing and practice never guaranteed the contingency was seen. Added: a ~1.5 s penalty pause after any premature (BONUS_PREMATURE_PENALTY_MS), a clearer message (“Round lost. Wait for the white square before you press.”), a scripted guaranteed too-soon demonstration in practice, and a follow-up practice screen (MID_DEMO_DONE). None of this touches the recorded bandit RNG, so schedules stay byte-identical for a given seed.</w:t>
      </w:r>
    </w:p>
    <w:p>
      <w:pPr>
        <w:spacing w:after="80" w:before="200"/>
      </w:pPr>
      <w:r>
        <w:rPr>
          <w:rFonts w:ascii="Arial" w:cs="Arial" w:eastAsia="Arial" w:hAnsi="Arial"/>
          <w:b/>
          <w:bCs/>
          <w:i w:val="false"/>
          <w:iCs w:val="false"/>
          <w:sz w:val="24"/>
          <w:szCs w:val="24"/>
        </w:rPr>
        <w:t xml:space="preserve">5.3 Analysis pipeline (analyze_bandit_mid_v4.py)</w:t>
      </w:r>
    </w:p>
    <w:p>
      <w:pPr>
        <w:pStyle w:val="ListParagraph"/>
        <w:numPr>
          <w:ilvl w:val="0"/>
          <w:numId w:val="1"/>
        </w:numPr>
        <w:spacing w:after="60" w:line="264"/>
      </w:pPr>
      <w:r>
        <w:rPr>
          <w:rFonts w:ascii="Arial" w:cs="Arial" w:eastAsia="Arial" w:hAnsi="Arial"/>
          <w:b/>
          <w:bCs/>
          <w:i w:val="false"/>
          <w:iCs w:val="false"/>
          <w:sz w:val="22"/>
          <w:szCs w:val="22"/>
        </w:rPr>
        <w:t xml:space="preserve">Premature watch flag. </w:t>
      </w:r>
      <w:r>
        <w:rPr>
          <w:rFonts w:ascii="Arial" w:cs="Arial" w:eastAsia="Arial" w:hAnsi="Arial"/>
          <w:b w:val="false"/>
          <w:bCs w:val="false"/>
          <w:i w:val="false"/>
          <w:iCs w:val="false"/>
          <w:sz w:val="22"/>
          <w:szCs w:val="22"/>
        </w:rPr>
        <w:t xml:space="preserve">Two-tier: WATCH_MID_PREMATURE_PROP = 0.20 raises an advisory elevated_mid_premature flag; MAX_MID_PREMATURE_PROP = 0.25 raises high_mid_premature and drives exclusion.</w:t>
      </w:r>
    </w:p>
    <w:p>
      <w:pPr>
        <w:pStyle w:val="ListParagraph"/>
        <w:numPr>
          <w:ilvl w:val="0"/>
          <w:numId w:val="1"/>
        </w:numPr>
        <w:spacing w:after="60" w:line="264"/>
      </w:pPr>
      <w:r>
        <w:rPr>
          <w:rFonts w:ascii="Arial" w:cs="Arial" w:eastAsia="Arial" w:hAnsi="Arial"/>
          <w:b/>
          <w:bCs/>
          <w:i w:val="false"/>
          <w:iCs w:val="false"/>
          <w:sz w:val="22"/>
          <w:szCs w:val="22"/>
        </w:rPr>
        <w:t xml:space="preserve">Learning gate (whole task). </w:t>
      </w:r>
      <w:r>
        <w:rPr>
          <w:rFonts w:ascii="Arial" w:cs="Arial" w:eastAsia="Arial" w:hAnsi="Arial"/>
          <w:b w:val="false"/>
          <w:bCs w:val="false"/>
          <w:i w:val="false"/>
          <w:iCs w:val="false"/>
          <w:sz w:val="22"/>
          <w:szCs w:val="22"/>
        </w:rPr>
        <w:t xml:space="preserve">Replaced the flat 0.45 last-edge floor. learned_above_chance is a one-sided binomial test that overall optimal choice (learn_optimal_prop over learn_n trials) beats chance (1/3, LEARNING_ALPHA = 0.05). Failing raises did_not_learn (exclusion). Judged over the whole task so a subject who learned then faded is still credited.</w:t>
      </w:r>
    </w:p>
    <w:p>
      <w:pPr>
        <w:pStyle w:val="ListParagraph"/>
        <w:numPr>
          <w:ilvl w:val="0"/>
          <w:numId w:val="1"/>
        </w:numPr>
        <w:spacing w:after="60" w:line="264"/>
      </w:pPr>
      <w:r>
        <w:rPr>
          <w:rFonts w:ascii="Arial" w:cs="Arial" w:eastAsia="Arial" w:hAnsi="Arial"/>
          <w:b/>
          <w:bCs/>
          <w:i w:val="false"/>
          <w:iCs w:val="false"/>
          <w:sz w:val="22"/>
          <w:szCs w:val="22"/>
        </w:rPr>
        <w:t xml:space="preserve">Late-disengagement flag. </w:t>
      </w:r>
      <w:r>
        <w:rPr>
          <w:rFonts w:ascii="Arial" w:cs="Arial" w:eastAsia="Arial" w:hAnsi="Arial"/>
          <w:b w:val="false"/>
          <w:bCs w:val="false"/>
          <w:i w:val="false"/>
          <w:iCs w:val="false"/>
          <w:sz w:val="22"/>
          <w:szCs w:val="22"/>
        </w:rPr>
        <w:t xml:space="preserve">Separate construct. late_disengagement fires when final-phase optimal falls ≥ MAX_LATE_OPTIMAL_DROP (0.35) below the subject’s best earlier phase (peak_earlier_phase_optimal_prop, late_optimal_drop). Catches grid-006 (drop 0.48) as fatigue while sparing grid-009 (0.32). Currently drives exclusion with an accurate reason.</w:t>
      </w:r>
    </w:p>
    <w:p>
      <w:pPr>
        <w:pStyle w:val="ListParagraph"/>
        <w:numPr>
          <w:ilvl w:val="0"/>
          <w:numId w:val="1"/>
        </w:numPr>
        <w:spacing w:after="60" w:line="264"/>
      </w:pPr>
      <w:r>
        <w:rPr>
          <w:rFonts w:ascii="Arial" w:cs="Arial" w:eastAsia="Arial" w:hAnsi="Arial"/>
          <w:b/>
          <w:bCs/>
          <w:i w:val="false"/>
          <w:iCs w:val="false"/>
          <w:sz w:val="22"/>
          <w:szCs w:val="22"/>
        </w:rPr>
        <w:t xml:space="preserve">Floor sync + dictionary. </w:t>
      </w:r>
      <w:r>
        <w:rPr>
          <w:rFonts w:ascii="Arial" w:cs="Arial" w:eastAsia="Arial" w:hAnsi="Arial"/>
          <w:b w:val="false"/>
          <w:bCs w:val="false"/>
          <w:i w:val="false"/>
          <w:iCs w:val="false"/>
          <w:sz w:val="22"/>
          <w:szCs w:val="22"/>
        </w:rPr>
        <w:t xml:space="preserve">WIN_FLOOR_MS = 230 to match the task for rail detection. The data dictionary now derives its row order from the actual output columns and warns on any undocumented column (this caught several previously undocumented fields).</w:t>
      </w:r>
    </w:p>
    <w:p>
      <w:pPr>
        <w:spacing w:after="80" w:before="200"/>
      </w:pPr>
      <w:r>
        <w:rPr>
          <w:rFonts w:ascii="Arial" w:cs="Arial" w:eastAsia="Arial" w:hAnsi="Arial"/>
          <w:b/>
          <w:bCs/>
          <w:i w:val="false"/>
          <w:iCs w:val="false"/>
          <w:sz w:val="24"/>
          <w:szCs w:val="24"/>
        </w:rPr>
        <w:t xml:space="preserve">5.4 RL modeling (fit_bandit_mid_rl_v4.py)</w:t>
      </w:r>
    </w:p>
    <w:p>
      <w:pPr>
        <w:spacing w:after="120" w:line="264"/>
      </w:pPr>
      <w:r>
        <w:rPr>
          <w:rFonts w:ascii="Arial" w:cs="Arial" w:eastAsia="Arial" w:hAnsi="Arial"/>
          <w:b w:val="false"/>
          <w:bCs w:val="false"/>
          <w:i w:val="false"/>
          <w:iCs w:val="false"/>
          <w:sz w:val="22"/>
          <w:szCs w:val="22"/>
        </w:rPr>
        <w:t xml:space="preserve">The v1 fitter had only static-parameter models and no vigor modulation. Across the session it grew the α-bias model and the craving machinery. Rho is fixed at 1 (rho and β are not jointly identified with fixed reward magnitude). M2 remains the primary reported model; M1/M3 are untouched.</w:t>
      </w:r>
    </w:p>
    <w:p>
      <w:pPr>
        <w:pBdr>
          <w:bottom w:val="single" w:color="000000" w:sz="6"/>
        </w:pBdr>
        <w:spacing w:after="120" w:before="260"/>
      </w:pPr>
      <w:r>
        <w:rPr>
          <w:rFonts w:ascii="Arial" w:cs="Arial" w:eastAsia="Arial" w:hAnsi="Arial"/>
          <w:b/>
          <w:bCs/>
          <w:i w:val="false"/>
          <w:iCs w:val="false"/>
          <w:sz w:val="30"/>
          <w:szCs w:val="30"/>
        </w:rPr>
        <w:t xml:space="preserve">6. RL model reference</w:t>
      </w:r>
    </w:p>
    <w:tbl>
      <w:tblPr>
        <w:tblW w:type="dxa" w:w="10800"/>
        <w:tblBorders>
          <w:top w:val="single" w:color="888888" w:sz="4"/>
          <w:left w:val="single" w:color="888888" w:sz="4"/>
          <w:bottom w:val="single" w:color="888888" w:sz="4"/>
          <w:right w:val="single" w:color="888888" w:sz="4"/>
          <w:insideH w:val="single" w:color="BBBBBB" w:sz="4"/>
          <w:insideV w:val="single" w:color="BBBBBB" w:sz="4"/>
        </w:tblBorders>
      </w:tblPr>
      <w:tblGrid>
        <w:gridCol w:w="2600"/>
        <w:gridCol w:w="3200"/>
        <w:gridCol w:w="5000"/>
      </w:tblGrid>
      <w:tr>
        <w:trPr>
          <w:tblHeader/>
        </w:trPr>
        <w:tc>
          <w:tcPr>
            <w:tcW w:type="dxa" w:w="26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Model</w:t>
            </w:r>
          </w:p>
        </w:tc>
        <w:tc>
          <w:tcPr>
            <w:tcW w:type="dxa" w:w="32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Free parameters</w:t>
            </w:r>
          </w:p>
        </w:tc>
        <w:tc>
          <w:tcPr>
            <w:tcW w:type="dxa" w:w="50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Role</w:t>
            </w:r>
          </w:p>
        </w:tc>
      </w:tr>
      <w:tr>
        <w:tc>
          <w:tcPr>
            <w:tcW w:type="dxa" w:w="2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M1</w:t>
            </w:r>
          </w:p>
        </w:tc>
        <w:tc>
          <w:tcPr>
            <w:tcW w:type="dxa" w:w="3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α, β</w:t>
            </w:r>
          </w:p>
        </w:tc>
        <w:tc>
          <w:tcPr>
            <w:tcW w:type="dxa" w:w="5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Single-rate baseline</w:t>
            </w:r>
          </w:p>
        </w:tc>
      </w:tr>
      <w:tr>
        <w:tc>
          <w:tcPr>
            <w:tcW w:type="dxa" w:w="2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M2</w:t>
            </w:r>
          </w:p>
        </w:tc>
        <w:tc>
          <w:tcPr>
            <w:tcW w:type="dxa" w:w="3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α+, α−, β</w:t>
            </w:r>
          </w:p>
        </w:tc>
        <w:tc>
          <w:tcPr>
            <w:tcW w:type="dxa" w:w="5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PRIMARY reported model (dual learning rates)</w:t>
            </w:r>
          </w:p>
        </w:tc>
      </w:tr>
      <w:tr>
        <w:tc>
          <w:tcPr>
            <w:tcW w:type="dxa" w:w="2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M3</w:t>
            </w:r>
          </w:p>
        </w:tc>
        <w:tc>
          <w:tcPr>
            <w:tcW w:type="dxa" w:w="3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α+, α−, β, κ</w:t>
            </w:r>
          </w:p>
        </w:tc>
        <w:tc>
          <w:tcPr>
            <w:tcW w:type="dxa" w:w="5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Adds stickiness; use its β for sticky subjects</w:t>
            </w:r>
          </w:p>
        </w:tc>
      </w:tr>
      <w:tr>
        <w:tc>
          <w:tcPr>
            <w:tcW w:type="dxa" w:w="2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M4 (embedded_mid)</w:t>
            </w:r>
          </w:p>
        </w:tc>
        <w:tc>
          <w:tcPr>
            <w:tcW w:type="dxa" w:w="3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α+, α−, β, φ</w:t>
            </w:r>
          </w:p>
        </w:tc>
        <w:tc>
          <w:tcPr>
            <w:tcW w:type="dxa" w:w="5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PRIMARY α-bias: α+_t = α+ + φ·craving_mid_t</w:t>
            </w:r>
          </w:p>
        </w:tc>
      </w:tr>
      <w:tr>
        <w:tc>
          <w:tcPr>
            <w:tcW w:type="dxa" w:w="2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M4 (reward_trace)</w:t>
            </w:r>
          </w:p>
        </w:tc>
        <w:tc>
          <w:tcPr>
            <w:tcW w:type="dxa" w:w="3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α+, α−, β, φ</w:t>
            </w:r>
          </w:p>
        </w:tc>
        <w:tc>
          <w:tcPr>
            <w:tcW w:type="dxa" w:w="5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COMPETING control: craving = leaky reward history</w:t>
            </w:r>
          </w:p>
        </w:tc>
      </w:tr>
      <w:tr>
        <w:tc>
          <w:tcPr>
            <w:tcW w:type="dxa" w:w="2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M4_joint</w:t>
            </w:r>
          </w:p>
        </w:tc>
        <w:tc>
          <w:tcPr>
            <w:tcW w:type="dxa" w:w="3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α+, α−, β, φ_mid, φ_rew</w:t>
            </w:r>
          </w:p>
        </w:tc>
        <w:tc>
          <w:tcPr>
            <w:tcW w:type="dxa" w:w="5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Both modulators together (the decisive control)</w:t>
            </w:r>
          </w:p>
        </w:tc>
      </w:tr>
    </w:tbl>
    <w:p>
      <w:pPr>
        <w:spacing w:after="80"/>
      </w:pPr>
      <w:r>
        <w:rPr>
          <w:rFonts w:ascii="Arial" w:cs="Arial" w:eastAsia="Arial" w:hAnsi="Arial"/>
          <w:b w:val="false"/>
          <w:bCs w:val="false"/>
          <w:i w:val="false"/>
          <w:iCs w:val="false"/>
          <w:sz w:val="22"/>
          <w:szCs w:val="22"/>
        </w:rPr>
        <w:t xml:space="preserve"/>
      </w:r>
    </w:p>
    <w:p>
      <w:pPr>
        <w:spacing w:after="120" w:line="264"/>
      </w:pPr>
      <w:r>
        <w:rPr>
          <w:rFonts w:ascii="Arial" w:cs="Arial" w:eastAsia="Arial" w:hAnsi="Arial"/>
          <w:b/>
          <w:bCs/>
          <w:i w:val="false"/>
          <w:iCs w:val="false"/>
          <w:sz w:val="22"/>
          <w:szCs w:val="22"/>
        </w:rPr>
        <w:t xml:space="preserve">Craving signals. </w:t>
      </w:r>
      <w:r>
        <w:rPr>
          <w:rFonts w:ascii="Arial" w:cs="Arial" w:eastAsia="Arial" w:hAnsi="Arial"/>
          <w:b w:val="false"/>
          <w:bCs w:val="false"/>
          <w:i w:val="false"/>
          <w:iCs w:val="false"/>
          <w:sz w:val="22"/>
          <w:szCs w:val="22"/>
        </w:rPr>
        <w:t xml:space="preserve">craving_embedded_mid (PRIMARY): the embedded MID food-cue vigor carried forward across the bandit — each food probe contributes z(−target_rt) (faster = more craving), held until the next probe, causal, z-scored. This is the implicit analog of Kulkarni’s explicit ratings. craving_reward_trace (COMPETING): a causal leaky trace of past food wins (decay 0.6). A significant φ on reward_trace alone is the ordinary reward-driven / associability change in learning rate, not craving, which is why it is the control.</w:t>
      </w:r>
    </w:p>
    <w:p>
      <w:pPr>
        <w:spacing w:after="120" w:line="264"/>
      </w:pPr>
      <w:r>
        <w:rPr>
          <w:rFonts w:ascii="Arial" w:cs="Arial" w:eastAsia="Arial" w:hAnsi="Arial"/>
          <w:b/>
          <w:bCs/>
          <w:i w:val="false"/>
          <w:iCs w:val="false"/>
          <w:sz w:val="22"/>
          <w:szCs w:val="22"/>
        </w:rPr>
        <w:t xml:space="preserve">The decisive test. </w:t>
      </w:r>
      <w:r>
        <w:rPr>
          <w:rFonts w:ascii="Arial" w:cs="Arial" w:eastAsia="Arial" w:hAnsi="Arial"/>
          <w:b w:val="false"/>
          <w:bCs w:val="false"/>
          <w:i w:val="false"/>
          <w:iCs w:val="false"/>
          <w:sz w:val="22"/>
          <w:szCs w:val="22"/>
        </w:rPr>
        <w:t xml:space="preserve">Because reward_trace is endogenous to the reward stream, separate fits cannot show the MID signal adds anything. The joint model settles it: joint_phi_mid is the embedded-MID slope controlling for reward history, and joint_phi_mid_lrt_p (joint vs reward_trace-only, 1 df) tests whether food-cue vigor predicts learning-rate modulation above reward history. joint_phi_rew_lrt_p is the reverse.</w:t>
      </w:r>
    </w:p>
    <w:p>
      <w:pPr>
        <w:spacing w:after="80"/>
      </w:pPr>
      <w:r>
        <w:rPr>
          <w:rFonts w:ascii="Arial" w:cs="Arial" w:eastAsia="Arial" w:hAnsi="Arial"/>
          <w:b w:val="false"/>
          <w:bCs w:val="false"/>
          <w:i w:val="false"/>
          <w:iCs w:val="false"/>
          <w:sz w:val="22"/>
          <w:szCs w:val="22"/>
        </w:rPr>
        <w:t xml:space="preserve"/>
      </w:r>
    </w:p>
    <w:p>
      <w:pPr>
        <w:spacing w:after="120" w:line="264"/>
      </w:pPr>
      <w:r>
        <w:rPr>
          <w:rFonts w:ascii="Arial" w:cs="Arial" w:eastAsia="Arial" w:hAnsi="Arial"/>
          <w:b/>
          <w:bCs/>
          <w:i w:val="false"/>
          <w:iCs w:val="false"/>
          <w:sz w:val="22"/>
          <w:szCs w:val="22"/>
        </w:rPr>
        <w:t xml:space="preserve">Key output columns (subject summary):</w:t>
      </w:r>
    </w:p>
    <w:tbl>
      <w:tblPr>
        <w:tblW w:type="dxa" w:w="10800"/>
        <w:tblBorders>
          <w:top w:val="single" w:color="888888" w:sz="4"/>
          <w:left w:val="single" w:color="888888" w:sz="4"/>
          <w:bottom w:val="single" w:color="888888" w:sz="4"/>
          <w:right w:val="single" w:color="888888" w:sz="4"/>
          <w:insideH w:val="single" w:color="BBBBBB" w:sz="4"/>
          <w:insideV w:val="single" w:color="BBBBBB" w:sz="4"/>
        </w:tblBorders>
      </w:tblPr>
      <w:tblGrid>
        <w:gridCol w:w="3600"/>
        <w:gridCol w:w="7200"/>
      </w:tblGrid>
      <w:tr>
        <w:trPr>
          <w:tblHeader/>
        </w:trPr>
        <w:tc>
          <w:tcPr>
            <w:tcW w:type="dxa" w:w="36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Column</w:t>
            </w:r>
          </w:p>
        </w:tc>
        <w:tc>
          <w:tcPr>
            <w:tcW w:type="dxa" w:w="72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Meaning</w:t>
            </w:r>
          </w:p>
        </w:tc>
      </w:tr>
      <w:tr>
        <w:tc>
          <w:tcPr>
            <w:tcW w:type="dxa" w:w="3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phi / phi_lrt_p / phi_perm_p</w:t>
            </w:r>
          </w:p>
        </w:tc>
        <w:tc>
          <w:tcPr>
            <w:tcW w:type="dxa" w:w="7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Primary (embedded_mid) φ and its significance, mirrored to the top level</w:t>
            </w:r>
          </w:p>
        </w:tc>
      </w:tr>
      <w:tr>
        <w:tc>
          <w:tcPr>
            <w:tcW w:type="dxa" w:w="3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embedded_mid_phi, reward_trace_phi</w:t>
            </w:r>
          </w:p>
        </w:tc>
        <w:tc>
          <w:tcPr>
            <w:tcW w:type="dxa" w:w="7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Marginal φ for each craving signal, fit separately</w:t>
            </w:r>
          </w:p>
        </w:tc>
      </w:tr>
      <w:tr>
        <w:tc>
          <w:tcPr>
            <w:tcW w:type="dxa" w:w="3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{method}_phi_lrt_p</w:t>
            </w:r>
          </w:p>
        </w:tc>
        <w:tc>
          <w:tcPr>
            <w:tcW w:type="dxa" w:w="7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Per-subject 1-df chi-square test vs M2 (mildly anti-conservative)</w:t>
            </w:r>
          </w:p>
        </w:tc>
      </w:tr>
      <w:tr>
        <w:tc>
          <w:tcPr>
            <w:tcW w:type="dxa" w:w="3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{method}_phi_perm_p</w:t>
            </w:r>
          </w:p>
        </w:tc>
        <w:tc>
          <w:tcPr>
            <w:tcW w:type="dxa" w:w="7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Permutation test (NaN unless N_PHI_PERM &gt; 0; set ~500 for inference)</w:t>
            </w:r>
          </w:p>
        </w:tc>
      </w:tr>
      <w:tr>
        <w:tc>
          <w:tcPr>
            <w:tcW w:type="dxa" w:w="3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joint_phi_mid, joint_phi_rew</w:t>
            </w:r>
          </w:p>
        </w:tc>
        <w:tc>
          <w:tcPr>
            <w:tcW w:type="dxa" w:w="7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Partial slopes, each controlling for the other</w:t>
            </w:r>
          </w:p>
        </w:tc>
      </w:tr>
      <w:tr>
        <w:tc>
          <w:tcPr>
            <w:tcW w:type="dxa" w:w="3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joint_phi_mid_lrt_p</w:t>
            </w:r>
          </w:p>
        </w:tc>
        <w:tc>
          <w:tcPr>
            <w:tcW w:type="dxa" w:w="7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DECISIVE: embedded-MID beyond reward history</w:t>
            </w:r>
          </w:p>
        </w:tc>
      </w:tr>
      <w:tr>
        <w:tc>
          <w:tcPr>
            <w:tcW w:type="dxa" w:w="36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{method}_delta_aic_vs_M2</w:t>
            </w:r>
          </w:p>
        </w:tc>
        <w:tc>
          <w:tcPr>
            <w:tcW w:type="dxa" w:w="72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Model-comparison gain from adding φ</w:t>
            </w:r>
          </w:p>
        </w:tc>
      </w:tr>
    </w:tbl>
    <w:p>
      <w:pPr>
        <w:spacing w:after="80"/>
      </w:pPr>
      <w:r>
        <w:rPr>
          <w:rFonts w:ascii="Arial" w:cs="Arial" w:eastAsia="Arial" w:hAnsi="Arial"/>
          <w:b w:val="false"/>
          <w:bCs w:val="false"/>
          <w:i w:val="false"/>
          <w:iCs w:val="false"/>
          <w:sz w:val="22"/>
          <w:szCs w:val="22"/>
        </w:rPr>
        <w:t xml:space="preserve"/>
      </w:r>
    </w:p>
    <w:p>
      <w:pPr>
        <w:spacing w:after="120" w:line="264"/>
      </w:pPr>
      <w:r>
        <w:rPr>
          <w:rFonts w:ascii="Arial" w:cs="Arial" w:eastAsia="Arial" w:hAnsi="Arial"/>
          <w:b/>
          <w:bCs/>
          <w:i w:val="false"/>
          <w:iCs w:val="false"/>
          <w:sz w:val="22"/>
          <w:szCs w:val="22"/>
        </w:rPr>
        <w:t xml:space="preserve">Trialwise export (iEEG regressors). </w:t>
      </w:r>
      <w:r>
        <w:rPr>
          <w:rFonts w:ascii="Arial" w:cs="Arial" w:eastAsia="Arial" w:hAnsi="Arial"/>
          <w:b w:val="false"/>
          <w:bCs w:val="false"/>
          <w:i w:val="false"/>
          <w:iCs w:val="false"/>
          <w:sz w:val="22"/>
          <w:szCs w:val="22"/>
        </w:rPr>
        <w:t xml:space="preserve">Alongside the M2 pre-update Q-values, prediction_error and alpha_used, the file carries craving_embedded_mid, craving_reward_trace, and alpha_pos_dynamic_primary. The data dictionary has an output_file column marking whether each variable lives in the subject-summary or the trialwise CSV.</w:t>
      </w:r>
    </w:p>
    <w:p>
      <w:pPr>
        <w:pBdr>
          <w:bottom w:val="single" w:color="000000" w:sz="6"/>
        </w:pBdr>
        <w:spacing w:after="120" w:before="260"/>
      </w:pPr>
      <w:r>
        <w:rPr>
          <w:rFonts w:ascii="Arial" w:cs="Arial" w:eastAsia="Arial" w:hAnsi="Arial"/>
          <w:b/>
          <w:bCs/>
          <w:i w:val="false"/>
          <w:iCs w:val="false"/>
          <w:sz w:val="30"/>
          <w:szCs w:val="30"/>
        </w:rPr>
        <w:t xml:space="preserve">7. Power and inference guidance for φ</w:t>
      </w:r>
    </w:p>
    <w:p>
      <w:pPr>
        <w:spacing w:after="120" w:line="264"/>
      </w:pPr>
      <w:r>
        <w:rPr>
          <w:rFonts w:ascii="Arial" w:cs="Arial" w:eastAsia="Arial" w:hAnsi="Arial"/>
          <w:b w:val="false"/>
          <w:bCs w:val="false"/>
          <w:i w:val="false"/>
          <w:iCs w:val="false"/>
          <w:sz w:val="22"/>
          <w:szCs w:val="22"/>
        </w:rPr>
        <w:t xml:space="preserve">Per-subject φ from 16 food probes is a diagnostic only. Recovery simulations using the real probe structure showed φ is identifiable and unbiased with well-controlled false positives, but per-subject power is effect-size dependent: with the other parameters fixed, ~1.0 at φ = 0.3, ~0.75 at 0.15, ~0.42 at 0.10; co-estimating all four parameters roughly halves it (~0.71 at φ = 0.3) and doubles the per-subject SE (~0.17).</w:t>
      </w:r>
    </w:p>
    <w:p>
      <w:pPr>
        <w:spacing w:after="120" w:line="264"/>
      </w:pPr>
      <w:r>
        <w:rPr>
          <w:rFonts w:ascii="Arial" w:cs="Arial" w:eastAsia="Arial" w:hAnsi="Arial"/>
          <w:b w:val="false"/>
          <w:bCs w:val="false"/>
          <w:i w:val="false"/>
          <w:iCs w:val="false"/>
          <w:sz w:val="22"/>
          <w:szCs w:val="22"/>
        </w:rPr>
        <w:t xml:space="preserve">The real test is group-level. Because the per-subject estimator is unbiased with a clean null, it aggregates correctly. Planning rule for a one-sample test: N ≈ 8 / d² where d = (group-mean φ) / (SD of per-subject φ̂). With a Kulkarni-sized effect this is roughly 10–30 subjects; for a small effect it approaches the pre-existing ~175-subject target, which is the safe anchor. A hierarchical partial-pooling fit does better than the two-stage t-test and is the intended primary analysis. Power tracks valid food-probe count, so the v14 premature fix directly raises it.</w:t>
      </w:r>
    </w:p>
    <w:p>
      <w:pPr>
        <w:pBdr>
          <w:bottom w:val="single" w:color="000000" w:sz="6"/>
        </w:pBdr>
        <w:spacing w:after="120" w:before="260"/>
      </w:pPr>
      <w:r>
        <w:rPr>
          <w:rFonts w:ascii="Arial" w:cs="Arial" w:eastAsia="Arial" w:hAnsi="Arial"/>
          <w:b/>
          <w:bCs/>
          <w:i w:val="false"/>
          <w:iCs w:val="false"/>
          <w:sz w:val="30"/>
          <w:szCs w:val="30"/>
        </w:rPr>
        <w:t xml:space="preserve">8. Decision log (do not re-litigate)</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Prematures are deterred (penalty pause + guaranteed practice demo), not handled by changing the staircase; the freeze rule stays.</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Staircase: start = 400, floor = 230, probes = 16/14. Do not chase the fast tail below ~210 (motor-response floor).</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Learning gate is whole-task binomial vs chance. Late fatigue is a separate late_disengagement flag, because the final phase conflates never-learned, faded-late, and reversal-2 re-learning.</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The craving modulator is the embedded MID food-cue vigor, NOT reward history. reward_trace is the competing control; the joint model’s joint_phi_mid is the clean claim.</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Per-subject φ is scaffolding; the group / hierarchical φ is the inference. Use the permutation p for defensible per-subject significance.</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Report β from the κ-inclusive model for sticky subjects. Rho fixed at 1. α− needs &gt;240 subjects, so do not interpret it at small n.</w:t>
      </w:r>
    </w:p>
    <w:p>
      <w:pPr>
        <w:pBdr>
          <w:bottom w:val="single" w:color="000000" w:sz="6"/>
        </w:pBdr>
        <w:spacing w:after="120" w:before="260"/>
      </w:pPr>
      <w:r>
        <w:rPr>
          <w:rFonts w:ascii="Arial" w:cs="Arial" w:eastAsia="Arial" w:hAnsi="Arial"/>
          <w:b/>
          <w:bCs/>
          <w:i w:val="false"/>
          <w:iCs w:val="false"/>
          <w:sz w:val="30"/>
          <w:szCs w:val="30"/>
        </w:rPr>
        <w:t xml:space="preserve">9. Current file inventory</w:t>
      </w:r>
    </w:p>
    <w:tbl>
      <w:tblPr>
        <w:tblW w:type="dxa" w:w="10800"/>
        <w:tblBorders>
          <w:top w:val="single" w:color="888888" w:sz="4"/>
          <w:left w:val="single" w:color="888888" w:sz="4"/>
          <w:bottom w:val="single" w:color="888888" w:sz="4"/>
          <w:right w:val="single" w:color="888888" w:sz="4"/>
          <w:insideH w:val="single" w:color="BBBBBB" w:sz="4"/>
          <w:insideV w:val="single" w:color="BBBBBB" w:sz="4"/>
        </w:tblBorders>
      </w:tblPr>
      <w:tblGrid>
        <w:gridCol w:w="3000"/>
        <w:gridCol w:w="7800"/>
      </w:tblGrid>
      <w:tr>
        <w:trPr>
          <w:tblHeader/>
        </w:trPr>
        <w:tc>
          <w:tcPr>
            <w:tcW w:type="dxa" w:w="30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File</w:t>
            </w:r>
          </w:p>
        </w:tc>
        <w:tc>
          <w:tcPr>
            <w:tcW w:type="dxa" w:w="7800"/>
            <w:shd w:fill="E7E7E7" w:color="auto" w:val="clear"/>
            <w:tcMar>
              <w:top w:type="dxa" w:w="40"/>
              <w:left w:type="dxa" w:w="80"/>
              <w:bottom w:type="dxa" w:w="40"/>
              <w:right w:type="dxa" w:w="80"/>
            </w:tcMar>
          </w:tcPr>
          <w:p>
            <w:pPr>
              <w:spacing w:after="0" w:line="252"/>
            </w:pPr>
            <w:r>
              <w:rPr>
                <w:rFonts w:ascii="Arial" w:cs="Arial" w:eastAsia="Arial" w:hAnsi="Arial"/>
                <w:b/>
                <w:bCs/>
                <w:i w:val="false"/>
                <w:iCs w:val="false"/>
                <w:sz w:val="20"/>
                <w:szCs w:val="20"/>
              </w:rPr>
              <w:t xml:space="preserve">Purpose / key contents</w:t>
            </w:r>
          </w:p>
        </w:tc>
      </w:tr>
      <w:tr>
        <w:tc>
          <w:tcPr>
            <w:tcW w:type="dxa" w:w="3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bandit_mid_task_v14.py</w:t>
            </w:r>
          </w:p>
        </w:tc>
        <w:tc>
          <w:tcPr>
            <w:tcW w:type="dxa" w:w="78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PsychoPy task. Premature deterrent: penalty pause, clearer message, scripted practice too-soon demo + MID_DEMO_DONE screen. Confirm start = 400 / floor = 230 in the deployed copy.</w:t>
            </w:r>
          </w:p>
        </w:tc>
      </w:tr>
      <w:tr>
        <w:tc>
          <w:tcPr>
            <w:tcW w:type="dxa" w:w="3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analyze_bandit_mid_v4.py</w:t>
            </w:r>
          </w:p>
        </w:tc>
        <w:tc>
          <w:tcPr>
            <w:tcW w:type="dxa" w:w="78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Behavioral analysis + QC. Whole-task binomial learning gate, late_disengagement flag, premature watch tier, WIN_FLOOR_MS = 230, output-ordered data dictionary.</w:t>
            </w:r>
          </w:p>
        </w:tc>
      </w:tr>
      <w:tr>
        <w:tc>
          <w:tcPr>
            <w:tcW w:type="dxa" w:w="3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fit_bandit_mid_rl_v4.py</w:t>
            </w:r>
          </w:p>
        </w:tc>
        <w:tc>
          <w:tcPr>
            <w:tcW w:type="dxa" w:w="78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RL fitting. M1/M2/M3 plus M4 under embedded_mid (primary) and reward_trace (competing), plus M4_joint with joint_phi_mid_lrt_p. Trialwise craving + dynamic-α regressors; dictionary with output_file column.</w:t>
            </w:r>
          </w:p>
        </w:tc>
      </w:tr>
      <w:tr>
        <w:tc>
          <w:tcPr>
            <w:tcW w:type="dxa" w:w="30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staircase_trajectories.png</w:t>
            </w:r>
          </w:p>
        </w:tc>
        <w:tc>
          <w:tcPr>
            <w:tcW w:type="dxa" w:w="7800"/>
            <w:tcMar>
              <w:top w:type="dxa" w:w="40"/>
              <w:left w:type="dxa" w:w="80"/>
              <w:bottom w:type="dxa" w:w="40"/>
              <w:right w:type="dxa" w:w="80"/>
            </w:tcMar>
          </w:tcPr>
          <w:p>
            <w:pPr>
              <w:spacing w:after="0" w:line="252"/>
            </w:pPr>
            <w:r>
              <w:rPr>
                <w:rFonts w:ascii="Arial" w:cs="Arial" w:eastAsia="Arial" w:hAnsi="Arial"/>
                <w:b w:val="false"/>
                <w:bCs w:val="false"/>
                <w:i w:val="false"/>
                <w:iCs w:val="false"/>
                <w:sz w:val="20"/>
                <w:szCs w:val="20"/>
              </w:rPr>
              <w:t xml:space="preserve">Window-vs-probe plot for the first four subjects (hit / slow-miss / premature / floor-ceiling markers).</w:t>
            </w:r>
          </w:p>
        </w:tc>
      </w:tr>
    </w:tbl>
    <w:p>
      <w:pPr>
        <w:spacing w:after="120" w:line="264"/>
      </w:pPr>
      <w:r>
        <w:rPr>
          <w:rFonts w:ascii="Arial" w:cs="Arial" w:eastAsia="Arial" w:hAnsi="Arial"/>
          <w:b/>
          <w:bCs/>
          <w:i w:val="false"/>
          <w:iCs w:val="false"/>
          <w:sz w:val="22"/>
          <w:szCs w:val="22"/>
        </w:rPr>
        <w:t xml:space="preserve">Note. </w:t>
      </w:r>
      <w:r>
        <w:rPr>
          <w:rFonts w:ascii="Arial" w:cs="Arial" w:eastAsia="Arial" w:hAnsi="Arial"/>
          <w:b w:val="false"/>
          <w:bCs w:val="false"/>
          <w:i w:val="false"/>
          <w:iCs w:val="false"/>
          <w:sz w:val="22"/>
          <w:szCs w:val="22"/>
        </w:rPr>
        <w:t xml:space="preserve">Earlier version numbers exist for each script (task v13; analyzer v1–v3; fitter v1–v3). The v4/v14 files above are the current ones. The analyzer and fitter both fit and were verified on the four raw pilot files each time.</w:t>
      </w:r>
    </w:p>
    <w:p>
      <w:pPr>
        <w:pBdr>
          <w:bottom w:val="single" w:color="000000" w:sz="6"/>
        </w:pBdr>
        <w:spacing w:after="120" w:before="260"/>
      </w:pPr>
      <w:r>
        <w:rPr>
          <w:rFonts w:ascii="Arial" w:cs="Arial" w:eastAsia="Arial" w:hAnsi="Arial"/>
          <w:b/>
          <w:bCs/>
          <w:i w:val="false"/>
          <w:iCs w:val="false"/>
          <w:sz w:val="30"/>
          <w:szCs w:val="30"/>
        </w:rPr>
        <w:t xml:space="preserve">10. Open items / next steps</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Re-run analyze_bandit_mid_v4 and fit_bandit_mid_rl_v4 on all 8 subjects; confirm grid-006 returns as a credited learner flagged late_disengagement.</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Confirm the deployed task carries start = 400 and floor = 230.</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Offered but not yet run: a simulation-based power curve (power vs N for the group embedded-MID φ) to preregister a target N.</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For defensible per-subject φ, set N_PHI_PERM (e.g. 500) to populate the permutation p-values.</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Build the hierarchical group-level fit (partial pooling) — this is the primary test of vigor-modulated learning and is not yet written.</w:t>
      </w:r>
    </w:p>
    <w:p>
      <w:pPr>
        <w:pStyle w:val="ListParagraph"/>
        <w:numPr>
          <w:ilvl w:val="0"/>
          <w:numId w:val="1"/>
        </w:numPr>
        <w:spacing w:after="60" w:line="264"/>
      </w:pPr>
      <w:r>
        <w:rPr>
          <w:rFonts w:ascii="Arial" w:cs="Arial" w:eastAsia="Arial" w:hAnsi="Arial"/>
          <w:b w:val="false"/>
          <w:bCs w:val="false"/>
          <w:i w:val="false"/>
          <w:iCs w:val="false"/>
          <w:sz w:val="22"/>
          <w:szCs w:val="22"/>
        </w:rPr>
        <w:t xml:space="preserve">On the horizon (from prior context): a choice-locked state-value regressor alongside the feedback-locked RPE for NAcc.</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2026-07-14T13:19:23.161Z</dcterms:created>
  <dcterms:modified xsi:type="dcterms:W3CDTF">2026-07-14T13:19:23.161Z</dcterms:modified>
</cp:coreProperties>
</file>

<file path=docProps/custom.xml><?xml version="1.0" encoding="utf-8"?>
<Properties xmlns="http://schemas.openxmlformats.org/officeDocument/2006/custom-properties" xmlns:vt="http://schemas.openxmlformats.org/officeDocument/2006/docPropsVTypes"/>
</file>