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color w:val="000000"/>
          <w:sz w:val="28"/>
        </w:rPr>
        <w:t>Behavioral paradigm: craving-modulated probabilistic reversal learning with an embedded incentive-vigor probe</w:t>
      </w:r>
    </w:p>
    <w:p>
      <w:r>
        <w:rPr>
          <w:rFonts w:ascii="Arial" w:hAnsi="Arial"/>
          <w:b/>
          <w:color w:val="000000"/>
          <w:sz w:val="24"/>
        </w:rPr>
        <w:t>Overview</w:t>
      </w:r>
    </w:p>
    <w:p>
      <w:r>
        <w:rPr>
          <w:rFonts w:ascii="Arial" w:hAnsi="Arial"/>
          <w:b w:val="0"/>
          <w:color w:val="000000"/>
          <w:sz w:val="22"/>
        </w:rPr>
        <w:t>The task was designed to test whether momentary incentive salience, the wanting of a craved food reward, modulates reinforcement-learning parameters and the learning rate in particular, adapting the wanting-modulated learning framework of Kulkarni et al. (2026). Participants performed a three-armed probabilistic reversal-learning bandit in which rewarded outcomes were images of craved food, while a brief incentive-vigor probe adapted from the monetary incentive delay (MID) task was interleaved across the session to index trial-by-trial wanting. The paradigm was built to run identically in standard behavioral sessions and in intracranial recordings from nucleus accumbens depth electrodes, so that the same behavioral indices could be related to local neural activity.</w:t>
      </w:r>
    </w:p>
    <w:p>
      <w:r>
        <w:rPr>
          <w:rFonts w:ascii="Arial" w:hAnsi="Arial"/>
          <w:b/>
          <w:color w:val="000000"/>
          <w:sz w:val="24"/>
        </w:rPr>
        <w:t>Probabilistic reversal-learning task</w:t>
      </w:r>
    </w:p>
    <w:p>
      <w:r>
        <w:rPr>
          <w:rFonts w:ascii="Arial" w:hAnsi="Arial"/>
          <w:b w:val="0"/>
          <w:color w:val="000000"/>
          <w:sz w:val="22"/>
        </w:rPr>
        <w:t>On each of 200 trials, three slot-machine stimuli, each identified by a distinct Celtic symbol, were shown at the left, center, and right of the display, and participants selected one with the corresponding arrow key. The three options returned reward with fixed probabilities of 0.80, 0.50, and 0.30; a rewarded outcome added 10 points and an unrewarded outcome subtracted 10. The assignment of symbols to options and of options to screen positions was randomized for each participant, so that neither the symbol nor the location was informative across sessions and the better options had to be learned within the session. Reward contingencies reversed twice, at trials 69 and 130, by rotating the three reward probabilities across the options in a randomly chosen direction. Because a three-element rotation has no fixed point, every option changed role at a reversal, the identity of the best option moved, and participants had to relearn. On every trial, reward and loss outcomes were drawn in advance for all three options, so that foregone (counterfactual) outcomes could be recorded alongside the chosen outcome.</w:t>
      </w:r>
    </w:p>
    <w:p>
      <w:r>
        <w:rPr>
          <w:rFonts w:ascii="Arial" w:hAnsi="Arial"/>
          <w:b w:val="0"/>
          <w:color w:val="000000"/>
          <w:sz w:val="22"/>
        </w:rPr>
        <w:t>The rewarded outcome was the craved food image itself rather than a neutral token paired with food, because the learning-rate modulation reported by Kulkarni et al. (2026) emerged only when the rewarding outcome was the craved cue. Food category was manipulated between participants: each participant viewed only sweet or only savory food images, fixed per session, so that craving ratings referred to a single, well-specified category and the coupling between wanting and outcome remained category-consistent throughout the task.</w:t>
      </w:r>
    </w:p>
    <w:p>
      <w:r>
        <w:rPr>
          <w:rFonts w:ascii="Arial" w:hAnsi="Arial"/>
          <w:b/>
          <w:color w:val="000000"/>
          <w:sz w:val="24"/>
        </w:rPr>
        <w:t>Trial structure and timing</w:t>
      </w:r>
    </w:p>
    <w:p>
      <w:r>
        <w:rPr>
          <w:rFonts w:ascii="Arial" w:hAnsi="Arial"/>
          <w:b w:val="0"/>
          <w:color w:val="000000"/>
          <w:sz w:val="22"/>
        </w:rPr>
        <w:t>A bandit trial opened with the choice display, which stayed on screen until a response, with a gentle reminder after 4 s and no hard deadline. A short selection animation (400 ms) confirmed the chosen option. A fixation cross of jittered duration (400 to 800 ms) then preceded outcome feedback (1500 ms), after which a jittered blank interval (400 to 700 ms) separated successive trials. The jittered pre-feedback fixation decorrelated choice-locked from outcome-locked neural responses and provided a clean pre-feedback baseline for the intracranial recordings, and the jittered inter-trial interval guarded the pre-choice baseline of the following trial.</w:t>
      </w:r>
    </w:p>
    <w:p>
      <w:r>
        <w:rPr>
          <w:rFonts w:ascii="Arial" w:hAnsi="Arial"/>
          <w:b/>
          <w:color w:val="000000"/>
          <w:sz w:val="24"/>
        </w:rPr>
        <w:t>Embedded incentive-vigor probe</w:t>
      </w:r>
    </w:p>
    <w:p>
      <w:r>
        <w:rPr>
          <w:rFonts w:ascii="Arial" w:hAnsi="Arial"/>
          <w:b w:val="0"/>
          <w:color w:val="000000"/>
          <w:sz w:val="22"/>
        </w:rPr>
        <w:t>Wanting was indexed on-line with a speeded incentive-vigor probe adapted from the MID task and embedded among the bandit trials. On a probe trial a cue image appeared for 1500 ms to signal the trial type, followed by a jittered anticipatory fixation (1500 to 3000 ms) and then a target, an outlined square, to which participants made a single speeded keypress. A response inside the window earned 15 points. Thirty probe trials were delivered, 16 with a food cue drawn from the participant's food category and 14 with a neutral cue. Probe trials were stratified across the three task phases defined by the two reversals, with an equal number of probes per phase and a balanced food-to-neutral split within each phase; their positions were spread within phases and held away from the reversal trials. Cue type was randomized within phase rather than alternating, so the category of the upcoming cue stayed unpredictable.</w:t>
      </w:r>
    </w:p>
    <w:p>
      <w:r>
        <w:rPr>
          <w:rFonts w:ascii="Arial" w:hAnsi="Arial"/>
          <w:b w:val="0"/>
          <w:color w:val="000000"/>
          <w:sz w:val="22"/>
        </w:rPr>
        <w:t>The response window was fixed at 550 ms for every probe and every participant. An adaptive staircase was deliberately not used. A staircase equates time pressure by holding each participant at their own speed-accuracy threshold, but in doing so it removes the slow response-time drift that incentive vigor consists of, and that drift is the signal the probe exists to measure. Calibration data quantify the trade: under a staircase, within-participant SD of log probe response time was 0.156, against 0.637 for self-paced bandit choice, and the reliability of a single probe reading (the share reflecting motivational state rather than measurement noise) was about 0.10. Under the fixed 550 ms deadline, log-RT SD rose to between 0.25 and 0.31 and single-probe reliability to about 0.33, replicated across independent calibration participants.</w:t>
      </w:r>
    </w:p>
    <w:p>
      <w:r>
        <w:rPr>
          <w:rFonts w:ascii="Arial" w:hAnsi="Arial"/>
          <w:b w:val="0"/>
          <w:color w:val="000000"/>
          <w:sz w:val="22"/>
        </w:rPr>
        <w:t>The 550 ms value was set from the observed probe response-time distribution so that censoring would be rare, with a pooled hit rate near 0.99 and a worst-participant rate near 0.96, holding above 0.92 even under a 20% slowing once the deadline stops chasing responses. Censoring is consequential here because it is not random: slow probes are precisely the ones lost to a tight deadline, so the staircase biased response-time variance downward, and response-time variance is the measurement of interest. The fixed deadline still imposes time pressure, so the probe remains a speeded incentive measure rather than a self-paced one. Presses occurring up to 500 ms after the window closed were logged with their latency and scored as misses, so that slow responses still contributed a valid target response time. The primary index of incentive vigor was the food-cue target response time, residualized on the participant's simple bandit response time to remove general speed, with the food-minus-neutral contrast quantifying momentary wanting.</w:t>
      </w:r>
    </w:p>
    <w:p>
      <w:r>
        <w:rPr>
          <w:rFonts w:ascii="Arial" w:hAnsi="Arial"/>
          <w:b/>
          <w:color w:val="000000"/>
          <w:sz w:val="24"/>
        </w:rPr>
        <w:t>Stimulus control and intracranial synchronization</w:t>
      </w:r>
    </w:p>
    <w:p>
      <w:r>
        <w:rPr>
          <w:rFonts w:ascii="Arial" w:hAnsi="Arial"/>
          <w:b w:val="0"/>
          <w:color w:val="000000"/>
          <w:sz w:val="22"/>
        </w:rPr>
        <w:t>The task was implemented in PsychoPy and rendered in display-height units for resolution independence. Event onsets, comprising choice onset, choice, anticipatory fixation, outcome, probe cue, probe fixation, target, response, and probe feedback, were marked with hardware triggers over a parallel or serial port and, in parallel, with a photodiode patch that flipped luminance at each critical visual onset. The photodiode channel, recorded on the same amplifier as the neural data, gave the ground-truth display time for offline realignment and corrected the variable monitor delay that the digital triggers alone do not capture; the digital triggers identified events while the photodiode fixed their timing. Trial-level data, including choices, obtained and foregone outcomes, response times, probe response-window state, and probe latencies, were written and flushed incrementally, so that a session interrupted partway retained every completed trial.</w:t>
      </w:r>
    </w:p>
    <w:p>
      <w:r>
        <w:rPr>
          <w:rFonts w:ascii="Arial" w:hAnsi="Arial"/>
          <w:b/>
          <w:color w:val="000000"/>
          <w:sz w:val="22"/>
        </w:rPr>
        <w:t>Note on data collected before version 15</w:t>
      </w:r>
    </w:p>
    <w:p>
      <w:r>
        <w:rPr>
          <w:rFonts w:ascii="Arial" w:hAnsi="Arial"/>
          <w:b w:val="0"/>
          <w:color w:val="000000"/>
          <w:sz w:val="22"/>
        </w:rPr>
        <w:t>Pilot data collected under versions 13 and 14 used the adaptive staircase and therefore carry a compressed vigor measure. Effect sizes estimated from those runs understate what the fixed-deadline probe should yield and should not be used to set the expected value of gamma for power analysis. The analysis pipeline flags such runs as legacy_staircase_run.</w:t>
      </w:r>
    </w:p>
    <w:p>
      <w:r>
        <w:rPr>
          <w:rFonts w:ascii="Arial" w:hAnsi="Arial"/>
          <w:b/>
          <w:color w:val="000000"/>
          <w:sz w:val="22"/>
        </w:rPr>
        <w:t>Outcome Framework for Food-Primed MID Probes Embedded in a Bandit Task</w:t>
      </w:r>
    </w:p>
    <w:p>
      <w:r>
        <w:rPr>
          <w:rFonts w:ascii="Arial" w:hAnsi="Arial"/>
          <w:b w:val="0"/>
          <w:color w:val="000000"/>
          <w:sz w:val="22"/>
        </w:rPr>
        <w:t>With no control MID trials, the embedded MID component should be interpreted as an individual-difference measure of food-cued incentive vigor, not as a within-subject food-versus-neutral incentive manipulation. The main use is to estimate how strongly each participant mobilizes behavior during food-cued incentive opportunity, then test whether that between-subject vigor measure explains variation in reward sensitivity, positive reinforcement learning, choice consistency, or win-stay behavior during the bandit.</w:t>
      </w:r>
    </w:p>
    <w:tbl>
      <w:tblPr>
        <w:tblStyle w:val="TableGrid"/>
        <w:tblW w:type="auto" w:w="0"/>
        <w:jc w:val="left"/>
        <w:tblLook w:firstColumn="1" w:firstRow="1" w:lastColumn="0" w:lastRow="0" w:noHBand="0" w:noVBand="1" w:val="04A0"/>
      </w:tblPr>
      <w:tblGrid>
        <w:gridCol w:w="5400"/>
        <w:gridCol w:w="5400"/>
      </w:tblGrid>
      <w:tr>
        <w:tc>
          <w:tcPr>
            <w:tcW w:type="dxa" w:w="5400"/>
          </w:tcPr>
          <w:p>
            <w:r>
              <w:rPr>
                <w:rFonts w:ascii="Arial" w:hAnsi="Arial"/>
                <w:b/>
                <w:color w:val="000000"/>
                <w:sz w:val="20"/>
              </w:rPr>
              <w:t>Can support</w:t>
            </w:r>
          </w:p>
        </w:tc>
        <w:tc>
          <w:tcPr>
            <w:tcW w:type="dxa" w:w="5400"/>
          </w:tcPr>
          <w:p>
            <w:r>
              <w:rPr>
                <w:rFonts w:ascii="Arial" w:hAnsi="Arial"/>
                <w:b/>
                <w:color w:val="000000"/>
                <w:sz w:val="20"/>
              </w:rPr>
              <w:t>Should avoid claiming</w:t>
            </w:r>
          </w:p>
        </w:tc>
      </w:tr>
      <w:tr>
        <w:tc>
          <w:tcPr>
            <w:tcW w:type="dxa" w:w="5400"/>
          </w:tcPr>
          <w:p>
            <w:r>
              <w:rPr>
                <w:rFonts w:ascii="Arial" w:hAnsi="Arial"/>
                <w:b w:val="0"/>
                <w:color w:val="000000"/>
                <w:sz w:val="20"/>
              </w:rPr>
              <w:t>Greater food-cued incentive vigor is associated with stronger reward-driven learning.</w:t>
            </w:r>
          </w:p>
        </w:tc>
        <w:tc>
          <w:tcPr>
            <w:tcW w:type="dxa" w:w="5400"/>
          </w:tcPr>
          <w:p>
            <w:r>
              <w:rPr>
                <w:rFonts w:ascii="Arial" w:hAnsi="Arial"/>
                <w:b w:val="0"/>
                <w:color w:val="000000"/>
                <w:sz w:val="20"/>
              </w:rPr>
              <w:t>Food cues increased vigor relative to neutral/control cues.</w:t>
            </w:r>
          </w:p>
        </w:tc>
      </w:tr>
      <w:tr>
        <w:tc>
          <w:tcPr>
            <w:tcW w:type="dxa" w:w="5400"/>
          </w:tcPr>
          <w:p>
            <w:r>
              <w:rPr>
                <w:rFonts w:ascii="Arial" w:hAnsi="Arial"/>
                <w:b w:val="0"/>
                <w:color w:val="000000"/>
                <w:sz w:val="20"/>
              </w:rPr>
              <w:t>Individual differences in food-cued response vigor moderate computational learning parameters.</w:t>
            </w:r>
          </w:p>
        </w:tc>
        <w:tc>
          <w:tcPr>
            <w:tcW w:type="dxa" w:w="5400"/>
          </w:tcPr>
          <w:p>
            <w:r>
              <w:rPr>
                <w:rFonts w:ascii="Arial" w:hAnsi="Arial"/>
                <w:b w:val="0"/>
                <w:color w:val="000000"/>
                <w:sz w:val="20"/>
              </w:rPr>
              <w:t>Food anticipation caused learning changes compared with non-food anticipation.</w:t>
            </w:r>
          </w:p>
        </w:tc>
      </w:tr>
      <w:tr>
        <w:tc>
          <w:tcPr>
            <w:tcW w:type="dxa" w:w="5400"/>
          </w:tcPr>
          <w:p>
            <w:r>
              <w:rPr>
                <w:rFonts w:ascii="Arial" w:hAnsi="Arial"/>
                <w:b w:val="0"/>
                <w:color w:val="000000"/>
                <w:sz w:val="20"/>
              </w:rPr>
              <w:t>Food-MID performance provides an implicit food incentive-responsiveness phenotype.</w:t>
            </w:r>
          </w:p>
        </w:tc>
        <w:tc>
          <w:tcPr>
            <w:tcW w:type="dxa" w:w="5400"/>
          </w:tcPr>
          <w:p>
            <w:r>
              <w:rPr>
                <w:rFonts w:ascii="Arial" w:hAnsi="Arial"/>
                <w:b w:val="0"/>
                <w:color w:val="000000"/>
                <w:sz w:val="20"/>
              </w:rPr>
              <w:t>The embedded MID is a complete standalone MID task.</w:t>
            </w:r>
          </w:p>
        </w:tc>
      </w:tr>
    </w:tbl>
    <w:p/>
    <w:p>
      <w:r>
        <w:rPr>
          <w:rFonts w:ascii="Arial" w:hAnsi="Arial"/>
          <w:b/>
          <w:color w:val="000000"/>
          <w:sz w:val="28"/>
        </w:rPr>
        <w:t>Table 1. Primary and secondary outcome hierarchy</w:t>
      </w:r>
    </w:p>
    <w:tbl>
      <w:tblPr>
        <w:tblStyle w:val="TableGrid"/>
        <w:tblW w:type="auto" w:w="0"/>
        <w:jc w:val="left"/>
        <w:tblLook w:firstColumn="1" w:firstRow="1" w:lastColumn="0" w:lastRow="0" w:noHBand="0" w:noVBand="1" w:val="04A0"/>
      </w:tblPr>
      <w:tblGrid>
        <w:gridCol w:w="2700"/>
        <w:gridCol w:w="2700"/>
        <w:gridCol w:w="2700"/>
        <w:gridCol w:w="2700"/>
      </w:tblGrid>
      <w:tr>
        <w:tc>
          <w:tcPr>
            <w:tcW w:type="dxa" w:w="2700"/>
          </w:tcPr>
          <w:p>
            <w:r>
              <w:rPr>
                <w:rFonts w:ascii="Arial" w:hAnsi="Arial"/>
                <w:b/>
                <w:color w:val="000000"/>
                <w:sz w:val="20"/>
              </w:rPr>
              <w:t>Tier</w:t>
            </w:r>
          </w:p>
        </w:tc>
        <w:tc>
          <w:tcPr>
            <w:tcW w:type="dxa" w:w="2700"/>
          </w:tcPr>
          <w:p>
            <w:r>
              <w:rPr>
                <w:rFonts w:ascii="Arial" w:hAnsi="Arial"/>
                <w:b/>
                <w:color w:val="000000"/>
                <w:sz w:val="20"/>
              </w:rPr>
              <w:t>Outcome</w:t>
            </w:r>
          </w:p>
        </w:tc>
        <w:tc>
          <w:tcPr>
            <w:tcW w:type="dxa" w:w="2700"/>
          </w:tcPr>
          <w:p>
            <w:r>
              <w:rPr>
                <w:rFonts w:ascii="Arial" w:hAnsi="Arial"/>
                <w:b/>
                <w:color w:val="000000"/>
                <w:sz w:val="20"/>
              </w:rPr>
              <w:t>Operational definition</w:t>
            </w:r>
          </w:p>
        </w:tc>
        <w:tc>
          <w:tcPr>
            <w:tcW w:type="dxa" w:w="2700"/>
          </w:tcPr>
          <w:p>
            <w:r>
              <w:rPr>
                <w:rFonts w:ascii="Arial" w:hAnsi="Arial"/>
                <w:b/>
                <w:color w:val="000000"/>
                <w:sz w:val="20"/>
              </w:rPr>
              <w:t>Interpretation</w:t>
            </w:r>
          </w:p>
        </w:tc>
      </w:tr>
      <w:tr>
        <w:tc>
          <w:tcPr>
            <w:tcW w:type="dxa" w:w="2700"/>
          </w:tcPr>
          <w:p>
            <w:r>
              <w:rPr>
                <w:rFonts w:ascii="Arial" w:hAnsi="Arial"/>
                <w:b w:val="0"/>
                <w:color w:val="000000"/>
                <w:sz w:val="20"/>
              </w:rPr>
              <w:t>Primary MID-derived measure</w:t>
            </w:r>
          </w:p>
        </w:tc>
        <w:tc>
          <w:tcPr>
            <w:tcW w:type="dxa" w:w="2700"/>
          </w:tcPr>
          <w:p>
            <w:r>
              <w:rPr>
                <w:rFonts w:ascii="Arial" w:hAnsi="Arial"/>
                <w:b w:val="0"/>
                <w:color w:val="000000"/>
                <w:sz w:val="20"/>
              </w:rPr>
              <w:t>Mean food-cued incentive vigor</w:t>
            </w:r>
          </w:p>
        </w:tc>
        <w:tc>
          <w:tcPr>
            <w:tcW w:type="dxa" w:w="2700"/>
          </w:tcPr>
          <w:p>
            <w:r>
              <w:rPr>
                <w:rFonts w:ascii="Arial" w:hAnsi="Arial"/>
                <w:b w:val="0"/>
                <w:color w:val="000000"/>
                <w:sz w:val="20"/>
              </w:rPr>
              <w:t>Typically -z(mean or median target RT) across participants, or -z(residualized food-MID RT).</w:t>
            </w:r>
          </w:p>
        </w:tc>
        <w:tc>
          <w:tcPr>
            <w:tcW w:type="dxa" w:w="2700"/>
          </w:tcPr>
          <w:p>
            <w:r>
              <w:rPr>
                <w:rFonts w:ascii="Arial" w:hAnsi="Arial"/>
                <w:b w:val="0"/>
                <w:color w:val="000000"/>
                <w:sz w:val="20"/>
              </w:rPr>
              <w:t>Implicit behavioral vigor during food-cued incentive opportunity.</w:t>
            </w:r>
          </w:p>
        </w:tc>
      </w:tr>
      <w:tr>
        <w:tc>
          <w:tcPr>
            <w:tcW w:type="dxa" w:w="2700"/>
          </w:tcPr>
          <w:p>
            <w:r>
              <w:rPr>
                <w:rFonts w:ascii="Arial" w:hAnsi="Arial"/>
                <w:b w:val="0"/>
                <w:color w:val="000000"/>
                <w:sz w:val="20"/>
              </w:rPr>
              <w:t>Primary behavioral learning outcome</w:t>
            </w:r>
          </w:p>
        </w:tc>
        <w:tc>
          <w:tcPr>
            <w:tcW w:type="dxa" w:w="2700"/>
          </w:tcPr>
          <w:p>
            <w:r>
              <w:rPr>
                <w:rFonts w:ascii="Arial" w:hAnsi="Arial"/>
                <w:b w:val="0"/>
                <w:color w:val="000000"/>
                <w:sz w:val="20"/>
              </w:rPr>
              <w:t>Win-stay / reward-stay tendency</w:t>
            </w:r>
          </w:p>
        </w:tc>
        <w:tc>
          <w:tcPr>
            <w:tcW w:type="dxa" w:w="2700"/>
          </w:tcPr>
          <w:p>
            <w:r>
              <w:rPr>
                <w:rFonts w:ascii="Arial" w:hAnsi="Arial"/>
                <w:b w:val="0"/>
                <w:color w:val="000000"/>
                <w:sz w:val="20"/>
              </w:rPr>
              <w:t>Probability of repeating a bandit choice after a rewarded outcome, especially following food-MID probes.</w:t>
            </w:r>
          </w:p>
        </w:tc>
        <w:tc>
          <w:tcPr>
            <w:tcW w:type="dxa" w:w="2700"/>
          </w:tcPr>
          <w:p>
            <w:r>
              <w:rPr>
                <w:rFonts w:ascii="Arial" w:hAnsi="Arial"/>
                <w:b w:val="0"/>
                <w:color w:val="000000"/>
                <w:sz w:val="20"/>
              </w:rPr>
              <w:t>Simple behavioral index of reward-driven action repetition.</w:t>
            </w:r>
          </w:p>
        </w:tc>
      </w:tr>
      <w:tr>
        <w:tc>
          <w:tcPr>
            <w:tcW w:type="dxa" w:w="2700"/>
          </w:tcPr>
          <w:p>
            <w:r>
              <w:rPr>
                <w:rFonts w:ascii="Arial" w:hAnsi="Arial"/>
                <w:b w:val="0"/>
                <w:color w:val="000000"/>
                <w:sz w:val="20"/>
              </w:rPr>
              <w:t>Primary computational outcome</w:t>
            </w:r>
          </w:p>
        </w:tc>
        <w:tc>
          <w:tcPr>
            <w:tcW w:type="dxa" w:w="2700"/>
          </w:tcPr>
          <w:p>
            <w:r>
              <w:rPr>
                <w:rFonts w:ascii="Arial" w:hAnsi="Arial"/>
                <w:b w:val="0"/>
                <w:color w:val="000000"/>
                <w:sz w:val="20"/>
              </w:rPr>
              <w:t>Food vigor predicting reward sensitivity</w:t>
            </w:r>
          </w:p>
        </w:tc>
        <w:tc>
          <w:tcPr>
            <w:tcW w:type="dxa" w:w="2700"/>
          </w:tcPr>
          <w:p>
            <w:r>
              <w:rPr>
                <w:rFonts w:ascii="Arial" w:hAnsi="Arial"/>
                <w:b w:val="0"/>
                <w:color w:val="000000"/>
                <w:sz w:val="20"/>
              </w:rPr>
              <w:t>Between-subject regression of reward sensitivity parameter rho on food-cued incentive vigor.</w:t>
            </w:r>
          </w:p>
        </w:tc>
        <w:tc>
          <w:tcPr>
            <w:tcW w:type="dxa" w:w="2700"/>
          </w:tcPr>
          <w:p>
            <w:r>
              <w:rPr>
                <w:rFonts w:ascii="Arial" w:hAnsi="Arial"/>
                <w:b w:val="0"/>
                <w:color w:val="000000"/>
                <w:sz w:val="20"/>
              </w:rPr>
              <w:t>Tests whether higher food-cued vigor predicts stronger subjective reward impact.</w:t>
            </w:r>
          </w:p>
        </w:tc>
      </w:tr>
      <w:tr>
        <w:tc>
          <w:tcPr>
            <w:tcW w:type="dxa" w:w="2700"/>
          </w:tcPr>
          <w:p>
            <w:r>
              <w:rPr>
                <w:rFonts w:ascii="Arial" w:hAnsi="Arial"/>
                <w:b w:val="0"/>
                <w:color w:val="000000"/>
                <w:sz w:val="20"/>
              </w:rPr>
              <w:t>Secondary computational</w:t>
            </w:r>
          </w:p>
        </w:tc>
        <w:tc>
          <w:tcPr>
            <w:tcW w:type="dxa" w:w="2700"/>
          </w:tcPr>
          <w:p>
            <w:r>
              <w:rPr>
                <w:rFonts w:ascii="Arial" w:hAnsi="Arial"/>
                <w:b w:val="0"/>
                <w:color w:val="000000"/>
                <w:sz w:val="20"/>
              </w:rPr>
              <w:t>Food vigor predicting alpha+</w:t>
            </w:r>
          </w:p>
        </w:tc>
        <w:tc>
          <w:tcPr>
            <w:tcW w:type="dxa" w:w="2700"/>
          </w:tcPr>
          <w:p>
            <w:r>
              <w:rPr>
                <w:rFonts w:ascii="Arial" w:hAnsi="Arial"/>
                <w:b w:val="0"/>
                <w:color w:val="000000"/>
                <w:sz w:val="20"/>
              </w:rPr>
              <w:t>Between-subject regression of positive learning rate on food-cued incentive vigor.</w:t>
            </w:r>
          </w:p>
        </w:tc>
        <w:tc>
          <w:tcPr>
            <w:tcW w:type="dxa" w:w="2700"/>
          </w:tcPr>
          <w:p>
            <w:r>
              <w:rPr>
                <w:rFonts w:ascii="Arial" w:hAnsi="Arial"/>
                <w:b w:val="0"/>
                <w:color w:val="000000"/>
                <w:sz w:val="20"/>
              </w:rPr>
              <w:t>Tests whether higher food-cued vigor predicts stronger learning from rewards.</w:t>
            </w:r>
          </w:p>
        </w:tc>
      </w:tr>
      <w:tr>
        <w:tc>
          <w:tcPr>
            <w:tcW w:type="dxa" w:w="2700"/>
          </w:tcPr>
          <w:p>
            <w:r>
              <w:rPr>
                <w:rFonts w:ascii="Arial" w:hAnsi="Arial"/>
                <w:b w:val="0"/>
                <w:color w:val="000000"/>
                <w:sz w:val="20"/>
              </w:rPr>
              <w:t>Secondary computational</w:t>
            </w:r>
          </w:p>
        </w:tc>
        <w:tc>
          <w:tcPr>
            <w:tcW w:type="dxa" w:w="2700"/>
          </w:tcPr>
          <w:p>
            <w:r>
              <w:rPr>
                <w:rFonts w:ascii="Arial" w:hAnsi="Arial"/>
                <w:b w:val="0"/>
                <w:color w:val="000000"/>
                <w:sz w:val="20"/>
              </w:rPr>
              <w:t>Food vigor predicting beta</w:t>
            </w:r>
          </w:p>
        </w:tc>
        <w:tc>
          <w:tcPr>
            <w:tcW w:type="dxa" w:w="2700"/>
          </w:tcPr>
          <w:p>
            <w:r>
              <w:rPr>
                <w:rFonts w:ascii="Arial" w:hAnsi="Arial"/>
                <w:b w:val="0"/>
                <w:color w:val="000000"/>
                <w:sz w:val="20"/>
              </w:rPr>
              <w:t>Between-subject regression of inverse temperature/value-guided choice on food-cued incentive vigor.</w:t>
            </w:r>
          </w:p>
        </w:tc>
        <w:tc>
          <w:tcPr>
            <w:tcW w:type="dxa" w:w="2700"/>
          </w:tcPr>
          <w:p>
            <w:r>
              <w:rPr>
                <w:rFonts w:ascii="Arial" w:hAnsi="Arial"/>
                <w:b w:val="0"/>
                <w:color w:val="000000"/>
                <w:sz w:val="20"/>
              </w:rPr>
              <w:t>Tests whether higher food-cued vigor predicts more exploitative or value-consistent choice.</w:t>
            </w:r>
          </w:p>
        </w:tc>
      </w:tr>
      <w:tr>
        <w:tc>
          <w:tcPr>
            <w:tcW w:type="dxa" w:w="2700"/>
          </w:tcPr>
          <w:p>
            <w:r>
              <w:rPr>
                <w:rFonts w:ascii="Arial" w:hAnsi="Arial"/>
                <w:b w:val="0"/>
                <w:color w:val="000000"/>
                <w:sz w:val="20"/>
              </w:rPr>
              <w:t>Secondary validation</w:t>
            </w:r>
          </w:p>
        </w:tc>
        <w:tc>
          <w:tcPr>
            <w:tcW w:type="dxa" w:w="2700"/>
          </w:tcPr>
          <w:p>
            <w:r>
              <w:rPr>
                <w:rFonts w:ascii="Arial" w:hAnsi="Arial"/>
                <w:b w:val="0"/>
                <w:color w:val="000000"/>
                <w:sz w:val="20"/>
              </w:rPr>
              <w:t>Food vigor association with wanting</w:t>
            </w:r>
          </w:p>
        </w:tc>
        <w:tc>
          <w:tcPr>
            <w:tcW w:type="dxa" w:w="2700"/>
          </w:tcPr>
          <w:p>
            <w:r>
              <w:rPr>
                <w:rFonts w:ascii="Arial" w:hAnsi="Arial"/>
                <w:b w:val="0"/>
                <w:color w:val="000000"/>
                <w:sz w:val="20"/>
              </w:rPr>
              <w:t>Association between implicit vigor and explicit food wanting/button-press measures.</w:t>
            </w:r>
          </w:p>
        </w:tc>
        <w:tc>
          <w:tcPr>
            <w:tcW w:type="dxa" w:w="2700"/>
          </w:tcPr>
          <w:p>
            <w:r>
              <w:rPr>
                <w:rFonts w:ascii="Arial" w:hAnsi="Arial"/>
                <w:b w:val="0"/>
                <w:color w:val="000000"/>
                <w:sz w:val="20"/>
              </w:rPr>
              <w:t>Tests convergence or dissociation between implicit and explicit food motivation.</w:t>
            </w:r>
          </w:p>
        </w:tc>
      </w:tr>
      <w:tr>
        <w:tc>
          <w:tcPr>
            <w:tcW w:type="dxa" w:w="2700"/>
          </w:tcPr>
          <w:p>
            <w:r>
              <w:rPr>
                <w:rFonts w:ascii="Arial" w:hAnsi="Arial"/>
                <w:b w:val="0"/>
                <w:color w:val="000000"/>
                <w:sz w:val="20"/>
              </w:rPr>
              <w:t>QC / validity</w:t>
            </w:r>
          </w:p>
        </w:tc>
        <w:tc>
          <w:tcPr>
            <w:tcW w:type="dxa" w:w="2700"/>
          </w:tcPr>
          <w:p>
            <w:r>
              <w:rPr>
                <w:rFonts w:ascii="Arial" w:hAnsi="Arial"/>
                <w:b w:val="0"/>
                <w:color w:val="000000"/>
                <w:sz w:val="20"/>
              </w:rPr>
              <w:t>MID hit rate and anticipatory responses</w:t>
            </w:r>
          </w:p>
        </w:tc>
        <w:tc>
          <w:tcPr>
            <w:tcW w:type="dxa" w:w="2700"/>
          </w:tcPr>
          <w:p>
            <w:r>
              <w:rPr>
                <w:rFonts w:ascii="Arial" w:hAnsi="Arial"/>
                <w:b w:val="0"/>
                <w:color w:val="000000"/>
                <w:sz w:val="20"/>
              </w:rPr>
              <w:t>Hit rate, missed target rate, premature response rate, timing validity.</w:t>
            </w:r>
          </w:p>
        </w:tc>
        <w:tc>
          <w:tcPr>
            <w:tcW w:type="dxa" w:w="2700"/>
          </w:tcPr>
          <w:p>
            <w:r>
              <w:rPr>
                <w:rFonts w:ascii="Arial" w:hAnsi="Arial"/>
                <w:b w:val="0"/>
                <w:color w:val="000000"/>
                <w:sz w:val="20"/>
              </w:rPr>
              <w:t>Checks whether the embedded MID probe was calibrated and usable.</w:t>
            </w:r>
          </w:p>
        </w:tc>
      </w:tr>
    </w:tbl>
    <w:p/>
    <w:p>
      <w:r>
        <w:rPr>
          <w:rFonts w:ascii="Arial" w:hAnsi="Arial"/>
          <w:b/>
          <w:color w:val="000000"/>
          <w:sz w:val="28"/>
        </w:rPr>
        <w:t>Table 2. MID-derived behavioral outcomes</w:t>
      </w:r>
    </w:p>
    <w:tbl>
      <w:tblPr>
        <w:tblStyle w:val="TableGrid"/>
        <w:tblW w:type="auto" w:w="0"/>
        <w:jc w:val="left"/>
        <w:tblLook w:firstColumn="1" w:firstRow="1" w:lastColumn="0" w:lastRow="0" w:noHBand="0" w:noVBand="1" w:val="04A0"/>
      </w:tblPr>
      <w:tblGrid>
        <w:gridCol w:w="2700"/>
        <w:gridCol w:w="2700"/>
        <w:gridCol w:w="2700"/>
        <w:gridCol w:w="2700"/>
      </w:tblGrid>
      <w:tr>
        <w:tc>
          <w:tcPr>
            <w:tcW w:type="dxa" w:w="2700"/>
          </w:tcPr>
          <w:p>
            <w:r>
              <w:rPr>
                <w:rFonts w:ascii="Arial" w:hAnsi="Arial"/>
                <w:b/>
                <w:color w:val="000000"/>
                <w:sz w:val="20"/>
              </w:rPr>
              <w:t>Outcome</w:t>
            </w:r>
          </w:p>
        </w:tc>
        <w:tc>
          <w:tcPr>
            <w:tcW w:type="dxa" w:w="2700"/>
          </w:tcPr>
          <w:p>
            <w:r>
              <w:rPr>
                <w:rFonts w:ascii="Arial" w:hAnsi="Arial"/>
                <w:b/>
                <w:color w:val="000000"/>
                <w:sz w:val="20"/>
              </w:rPr>
              <w:t>How to compute</w:t>
            </w:r>
          </w:p>
        </w:tc>
        <w:tc>
          <w:tcPr>
            <w:tcW w:type="dxa" w:w="2700"/>
          </w:tcPr>
          <w:p>
            <w:r>
              <w:rPr>
                <w:rFonts w:ascii="Arial" w:hAnsi="Arial"/>
                <w:b/>
                <w:color w:val="000000"/>
                <w:sz w:val="20"/>
              </w:rPr>
              <w:t>Role</w:t>
            </w:r>
          </w:p>
        </w:tc>
        <w:tc>
          <w:tcPr>
            <w:tcW w:type="dxa" w:w="2700"/>
          </w:tcPr>
          <w:p>
            <w:r>
              <w:rPr>
                <w:rFonts w:ascii="Arial" w:hAnsi="Arial"/>
                <w:b/>
                <w:color w:val="000000"/>
                <w:sz w:val="20"/>
              </w:rPr>
              <w:t>Caution</w:t>
            </w:r>
          </w:p>
        </w:tc>
      </w:tr>
      <w:tr>
        <w:tc>
          <w:tcPr>
            <w:tcW w:type="dxa" w:w="2700"/>
          </w:tcPr>
          <w:p>
            <w:r>
              <w:rPr>
                <w:rFonts w:ascii="Arial" w:hAnsi="Arial"/>
                <w:b w:val="0"/>
                <w:color w:val="000000"/>
                <w:sz w:val="20"/>
              </w:rPr>
              <w:t>Food-cued incentive vigor</w:t>
            </w:r>
          </w:p>
        </w:tc>
        <w:tc>
          <w:tcPr>
            <w:tcW w:type="dxa" w:w="2700"/>
          </w:tcPr>
          <w:p>
            <w:r>
              <w:rPr>
                <w:rFonts w:ascii="Arial" w:hAnsi="Arial"/>
                <w:b w:val="0"/>
                <w:color w:val="000000"/>
                <w:sz w:val="20"/>
              </w:rPr>
              <w:t>-z(mean or median food-MID target RT), preferably across participants; higher values mean faster responding.</w:t>
            </w:r>
          </w:p>
        </w:tc>
        <w:tc>
          <w:tcPr>
            <w:tcW w:type="dxa" w:w="2700"/>
          </w:tcPr>
          <w:p>
            <w:r>
              <w:rPr>
                <w:rFonts w:ascii="Arial" w:hAnsi="Arial"/>
                <w:b w:val="0"/>
                <w:color w:val="000000"/>
                <w:sz w:val="20"/>
              </w:rPr>
              <w:t>Primary implicit food incentive measure.</w:t>
            </w:r>
          </w:p>
        </w:tc>
        <w:tc>
          <w:tcPr>
            <w:tcW w:type="dxa" w:w="2700"/>
          </w:tcPr>
          <w:p>
            <w:r>
              <w:rPr>
                <w:rFonts w:ascii="Arial" w:hAnsi="Arial"/>
                <w:b w:val="0"/>
                <w:color w:val="000000"/>
                <w:sz w:val="20"/>
              </w:rPr>
              <w:t>Without control trials, this is not a food-vs-neutral contrast.</w:t>
            </w:r>
          </w:p>
        </w:tc>
      </w:tr>
      <w:tr>
        <w:tc>
          <w:tcPr>
            <w:tcW w:type="dxa" w:w="2700"/>
          </w:tcPr>
          <w:p>
            <w:r>
              <w:rPr>
                <w:rFonts w:ascii="Arial" w:hAnsi="Arial"/>
                <w:b w:val="0"/>
                <w:color w:val="000000"/>
                <w:sz w:val="20"/>
              </w:rPr>
              <w:t>Residualized food vigor</w:t>
            </w:r>
          </w:p>
        </w:tc>
        <w:tc>
          <w:tcPr>
            <w:tcW w:type="dxa" w:w="2700"/>
          </w:tcPr>
          <w:p>
            <w:r>
              <w:rPr>
                <w:rFonts w:ascii="Arial" w:hAnsi="Arial"/>
                <w:b w:val="0"/>
                <w:color w:val="000000"/>
                <w:sz w:val="20"/>
              </w:rPr>
              <w:t>Residual from model predicting food-MID RT from general bandit choice RT, missed responses, and anticipatory errors; then multiply by -1 or z-score so higher = more vigor.</w:t>
            </w:r>
          </w:p>
        </w:tc>
        <w:tc>
          <w:tcPr>
            <w:tcW w:type="dxa" w:w="2700"/>
          </w:tcPr>
          <w:p>
            <w:r>
              <w:rPr>
                <w:rFonts w:ascii="Arial" w:hAnsi="Arial"/>
                <w:b w:val="0"/>
                <w:color w:val="000000"/>
                <w:sz w:val="20"/>
              </w:rPr>
              <w:t>Best adjusted between-subject vigor measure.</w:t>
            </w:r>
          </w:p>
        </w:tc>
        <w:tc>
          <w:tcPr>
            <w:tcW w:type="dxa" w:w="2700"/>
          </w:tcPr>
          <w:p>
            <w:r>
              <w:rPr>
                <w:rFonts w:ascii="Arial" w:hAnsi="Arial"/>
                <w:b w:val="0"/>
                <w:color w:val="000000"/>
                <w:sz w:val="20"/>
              </w:rPr>
              <w:t>Requires enough reliable RT and QC variables.</w:t>
            </w:r>
          </w:p>
        </w:tc>
      </w:tr>
      <w:tr>
        <w:tc>
          <w:tcPr>
            <w:tcW w:type="dxa" w:w="2700"/>
          </w:tcPr>
          <w:p>
            <w:r>
              <w:rPr>
                <w:rFonts w:ascii="Arial" w:hAnsi="Arial"/>
                <w:b w:val="0"/>
                <w:color w:val="000000"/>
                <w:sz w:val="20"/>
              </w:rPr>
              <w:t>MID hit rate</w:t>
            </w:r>
          </w:p>
        </w:tc>
        <w:tc>
          <w:tcPr>
            <w:tcW w:type="dxa" w:w="2700"/>
          </w:tcPr>
          <w:p>
            <w:r>
              <w:rPr>
                <w:rFonts w:ascii="Arial" w:hAnsi="Arial"/>
                <w:b w:val="0"/>
                <w:color w:val="000000"/>
                <w:sz w:val="20"/>
              </w:rPr>
              <w:t>Hits / 16 food-MID probes.</w:t>
            </w:r>
          </w:p>
        </w:tc>
        <w:tc>
          <w:tcPr>
            <w:tcW w:type="dxa" w:w="2700"/>
          </w:tcPr>
          <w:p>
            <w:r>
              <w:rPr>
                <w:rFonts w:ascii="Arial" w:hAnsi="Arial"/>
                <w:b w:val="0"/>
                <w:color w:val="000000"/>
                <w:sz w:val="20"/>
              </w:rPr>
              <w:t>Task calibration and engagement check.</w:t>
            </w:r>
          </w:p>
        </w:tc>
        <w:tc>
          <w:tcPr>
            <w:tcW w:type="dxa" w:w="2700"/>
          </w:tcPr>
          <w:p>
            <w:r>
              <w:rPr>
                <w:rFonts w:ascii="Arial" w:hAnsi="Arial"/>
                <w:b w:val="0"/>
                <w:color w:val="000000"/>
                <w:sz w:val="20"/>
              </w:rPr>
              <w:t>Coarse with only 16 trials. Under the fixed 550 ms deadline the expected rate is about 0.95 or higher, so a low rate flags disengagement or motor difficulty rather than target calibration.</w:t>
            </w:r>
          </w:p>
        </w:tc>
      </w:tr>
      <w:tr>
        <w:tc>
          <w:tcPr>
            <w:tcW w:type="dxa" w:w="2700"/>
          </w:tcPr>
          <w:p>
            <w:r>
              <w:rPr>
                <w:rFonts w:ascii="Arial" w:hAnsi="Arial"/>
                <w:b w:val="0"/>
                <w:color w:val="000000"/>
                <w:sz w:val="20"/>
              </w:rPr>
              <w:t>Anticipatory responses</w:t>
            </w:r>
          </w:p>
        </w:tc>
        <w:tc>
          <w:tcPr>
            <w:tcW w:type="dxa" w:w="2700"/>
          </w:tcPr>
          <w:p>
            <w:r>
              <w:rPr>
                <w:rFonts w:ascii="Arial" w:hAnsi="Arial"/>
                <w:b w:val="0"/>
                <w:color w:val="000000"/>
                <w:sz w:val="20"/>
              </w:rPr>
              <w:t>Responses before target onset.</w:t>
            </w:r>
          </w:p>
        </w:tc>
        <w:tc>
          <w:tcPr>
            <w:tcW w:type="dxa" w:w="2700"/>
          </w:tcPr>
          <w:p>
            <w:r>
              <w:rPr>
                <w:rFonts w:ascii="Arial" w:hAnsi="Arial"/>
                <w:b w:val="0"/>
                <w:color w:val="000000"/>
                <w:sz w:val="20"/>
              </w:rPr>
              <w:t>Impulsivity or over-engagement QC.</w:t>
            </w:r>
          </w:p>
        </w:tc>
        <w:tc>
          <w:tcPr>
            <w:tcW w:type="dxa" w:w="2700"/>
          </w:tcPr>
          <w:p>
            <w:r>
              <w:rPr>
                <w:rFonts w:ascii="Arial" w:hAnsi="Arial"/>
                <w:b w:val="0"/>
                <w:color w:val="000000"/>
                <w:sz w:val="20"/>
              </w:rPr>
              <w:t>Fast RTs should be interpreted cautiously if anticipatory errors are high.</w:t>
            </w:r>
          </w:p>
        </w:tc>
      </w:tr>
      <w:tr>
        <w:tc>
          <w:tcPr>
            <w:tcW w:type="dxa" w:w="2700"/>
          </w:tcPr>
          <w:p>
            <w:r>
              <w:rPr>
                <w:rFonts w:ascii="Arial" w:hAnsi="Arial"/>
                <w:b w:val="0"/>
                <w:color w:val="000000"/>
                <w:sz w:val="20"/>
              </w:rPr>
              <w:t>Bonus points earned</w:t>
            </w:r>
          </w:p>
        </w:tc>
        <w:tc>
          <w:tcPr>
            <w:tcW w:type="dxa" w:w="2700"/>
          </w:tcPr>
          <w:p>
            <w:r>
              <w:rPr>
                <w:rFonts w:ascii="Arial" w:hAnsi="Arial"/>
                <w:b w:val="0"/>
                <w:color w:val="000000"/>
                <w:sz w:val="20"/>
              </w:rPr>
              <w:t>Total food-MID bonus points.</w:t>
            </w:r>
          </w:p>
        </w:tc>
        <w:tc>
          <w:tcPr>
            <w:tcW w:type="dxa" w:w="2700"/>
          </w:tcPr>
          <w:p>
            <w:r>
              <w:rPr>
                <w:rFonts w:ascii="Arial" w:hAnsi="Arial"/>
                <w:b w:val="0"/>
                <w:color w:val="000000"/>
                <w:sz w:val="20"/>
              </w:rPr>
              <w:t>Simple performance/motivation summary.</w:t>
            </w:r>
          </w:p>
        </w:tc>
        <w:tc>
          <w:tcPr>
            <w:tcW w:type="dxa" w:w="2700"/>
          </w:tcPr>
          <w:p>
            <w:r>
              <w:rPr>
                <w:rFonts w:ascii="Arial" w:hAnsi="Arial"/>
                <w:b w:val="0"/>
                <w:color w:val="000000"/>
                <w:sz w:val="20"/>
              </w:rPr>
              <w:t>Not ideal as a primary measure because it depends on target calibration.</w:t>
            </w:r>
          </w:p>
        </w:tc>
      </w:tr>
    </w:tbl>
    <w:p/>
    <w:p>
      <w:r>
        <w:rPr>
          <w:rFonts w:ascii="Arial" w:hAnsi="Arial"/>
          <w:b/>
          <w:color w:val="000000"/>
          <w:sz w:val="28"/>
        </w:rPr>
        <w:t>Table 3. Behavioral bandit outcomes linked to food-MID probes</w:t>
      </w:r>
    </w:p>
    <w:tbl>
      <w:tblPr>
        <w:tblStyle w:val="TableGrid"/>
        <w:tblW w:type="auto" w:w="0"/>
        <w:jc w:val="left"/>
        <w:tblLook w:firstColumn="1" w:firstRow="1" w:lastColumn="0" w:lastRow="0" w:noHBand="0" w:noVBand="1" w:val="04A0"/>
      </w:tblPr>
      <w:tblGrid>
        <w:gridCol w:w="2700"/>
        <w:gridCol w:w="2700"/>
        <w:gridCol w:w="2700"/>
        <w:gridCol w:w="2700"/>
      </w:tblGrid>
      <w:tr>
        <w:tc>
          <w:tcPr>
            <w:tcW w:type="dxa" w:w="2700"/>
          </w:tcPr>
          <w:p>
            <w:r>
              <w:rPr>
                <w:rFonts w:ascii="Arial" w:hAnsi="Arial"/>
                <w:b/>
                <w:color w:val="000000"/>
                <w:sz w:val="20"/>
              </w:rPr>
              <w:t>Outcome</w:t>
            </w:r>
          </w:p>
        </w:tc>
        <w:tc>
          <w:tcPr>
            <w:tcW w:type="dxa" w:w="2700"/>
          </w:tcPr>
          <w:p>
            <w:r>
              <w:rPr>
                <w:rFonts w:ascii="Arial" w:hAnsi="Arial"/>
                <w:b/>
                <w:color w:val="000000"/>
                <w:sz w:val="20"/>
              </w:rPr>
              <w:t>Definition</w:t>
            </w:r>
          </w:p>
        </w:tc>
        <w:tc>
          <w:tcPr>
            <w:tcW w:type="dxa" w:w="2700"/>
          </w:tcPr>
          <w:p>
            <w:r>
              <w:rPr>
                <w:rFonts w:ascii="Arial" w:hAnsi="Arial"/>
                <w:b/>
                <w:color w:val="000000"/>
                <w:sz w:val="20"/>
              </w:rPr>
              <w:t>Conceptual target</w:t>
            </w:r>
          </w:p>
        </w:tc>
        <w:tc>
          <w:tcPr>
            <w:tcW w:type="dxa" w:w="2700"/>
          </w:tcPr>
          <w:p>
            <w:r>
              <w:rPr>
                <w:rFonts w:ascii="Arial" w:hAnsi="Arial"/>
                <w:b/>
                <w:color w:val="000000"/>
                <w:sz w:val="20"/>
              </w:rPr>
              <w:t>Suggested role</w:t>
            </w:r>
          </w:p>
        </w:tc>
      </w:tr>
      <w:tr>
        <w:tc>
          <w:tcPr>
            <w:tcW w:type="dxa" w:w="2700"/>
          </w:tcPr>
          <w:p>
            <w:r>
              <w:rPr>
                <w:rFonts w:ascii="Arial" w:hAnsi="Arial"/>
                <w:b w:val="0"/>
                <w:color w:val="000000"/>
                <w:sz w:val="20"/>
              </w:rPr>
              <w:t>Post-food-MID win-stay</w:t>
            </w:r>
          </w:p>
        </w:tc>
        <w:tc>
          <w:tcPr>
            <w:tcW w:type="dxa" w:w="2700"/>
          </w:tcPr>
          <w:p>
            <w:r>
              <w:rPr>
                <w:rFonts w:ascii="Arial" w:hAnsi="Arial"/>
                <w:b w:val="0"/>
                <w:color w:val="000000"/>
                <w:sz w:val="20"/>
              </w:rPr>
              <w:t>Repeat the same bandit choice after a rewarded outcome following a food-MID probe.</w:t>
            </w:r>
          </w:p>
        </w:tc>
        <w:tc>
          <w:tcPr>
            <w:tcW w:type="dxa" w:w="2700"/>
          </w:tcPr>
          <w:p>
            <w:r>
              <w:rPr>
                <w:rFonts w:ascii="Arial" w:hAnsi="Arial"/>
                <w:b w:val="0"/>
                <w:color w:val="000000"/>
                <w:sz w:val="20"/>
              </w:rPr>
              <w:t>Reward-driven action repetition / positive reinforcement sensitivity.</w:t>
            </w:r>
          </w:p>
        </w:tc>
        <w:tc>
          <w:tcPr>
            <w:tcW w:type="dxa" w:w="2700"/>
          </w:tcPr>
          <w:p>
            <w:r>
              <w:rPr>
                <w:rFonts w:ascii="Arial" w:hAnsi="Arial"/>
                <w:b w:val="0"/>
                <w:color w:val="000000"/>
                <w:sz w:val="20"/>
              </w:rPr>
              <w:t>Best simple behavioral primary or key secondary.</w:t>
            </w:r>
          </w:p>
        </w:tc>
      </w:tr>
      <w:tr>
        <w:tc>
          <w:tcPr>
            <w:tcW w:type="dxa" w:w="2700"/>
          </w:tcPr>
          <w:p>
            <w:r>
              <w:rPr>
                <w:rFonts w:ascii="Arial" w:hAnsi="Arial"/>
                <w:b w:val="0"/>
                <w:color w:val="000000"/>
                <w:sz w:val="20"/>
              </w:rPr>
              <w:t>Post-food-MID lose-shift</w:t>
            </w:r>
          </w:p>
        </w:tc>
        <w:tc>
          <w:tcPr>
            <w:tcW w:type="dxa" w:w="2700"/>
          </w:tcPr>
          <w:p>
            <w:r>
              <w:rPr>
                <w:rFonts w:ascii="Arial" w:hAnsi="Arial"/>
                <w:b w:val="0"/>
                <w:color w:val="000000"/>
                <w:sz w:val="20"/>
              </w:rPr>
              <w:t>Switch after a nonrewarded outcome following a food-MID probe.</w:t>
            </w:r>
          </w:p>
        </w:tc>
        <w:tc>
          <w:tcPr>
            <w:tcW w:type="dxa" w:w="2700"/>
          </w:tcPr>
          <w:p>
            <w:r>
              <w:rPr>
                <w:rFonts w:ascii="Arial" w:hAnsi="Arial"/>
                <w:b w:val="0"/>
                <w:color w:val="000000"/>
                <w:sz w:val="20"/>
              </w:rPr>
              <w:t>Sensitivity to omission/nonreward.</w:t>
            </w:r>
          </w:p>
        </w:tc>
        <w:tc>
          <w:tcPr>
            <w:tcW w:type="dxa" w:w="2700"/>
          </w:tcPr>
          <w:p>
            <w:r>
              <w:rPr>
                <w:rFonts w:ascii="Arial" w:hAnsi="Arial"/>
                <w:b w:val="0"/>
                <w:color w:val="000000"/>
                <w:sz w:val="20"/>
              </w:rPr>
              <w:t>Secondary.</w:t>
            </w:r>
          </w:p>
        </w:tc>
      </w:tr>
      <w:tr>
        <w:tc>
          <w:tcPr>
            <w:tcW w:type="dxa" w:w="2700"/>
          </w:tcPr>
          <w:p>
            <w:r>
              <w:rPr>
                <w:rFonts w:ascii="Arial" w:hAnsi="Arial"/>
                <w:b w:val="0"/>
                <w:color w:val="000000"/>
                <w:sz w:val="20"/>
              </w:rPr>
              <w:t>Post-food-MID choice RT</w:t>
            </w:r>
          </w:p>
        </w:tc>
        <w:tc>
          <w:tcPr>
            <w:tcW w:type="dxa" w:w="2700"/>
          </w:tcPr>
          <w:p>
            <w:r>
              <w:rPr>
                <w:rFonts w:ascii="Arial" w:hAnsi="Arial"/>
                <w:b w:val="0"/>
                <w:color w:val="000000"/>
                <w:sz w:val="20"/>
              </w:rPr>
              <w:t>Bandit choice RT on trials immediately following food-MID probes.</w:t>
            </w:r>
          </w:p>
        </w:tc>
        <w:tc>
          <w:tcPr>
            <w:tcW w:type="dxa" w:w="2700"/>
          </w:tcPr>
          <w:p>
            <w:r>
              <w:rPr>
                <w:rFonts w:ascii="Arial" w:hAnsi="Arial"/>
                <w:b w:val="0"/>
                <w:color w:val="000000"/>
                <w:sz w:val="20"/>
              </w:rPr>
              <w:t>Carryover of incentive vigor into choice speed or deliberation.</w:t>
            </w:r>
          </w:p>
        </w:tc>
        <w:tc>
          <w:tcPr>
            <w:tcW w:type="dxa" w:w="2700"/>
          </w:tcPr>
          <w:p>
            <w:r>
              <w:rPr>
                <w:rFonts w:ascii="Arial" w:hAnsi="Arial"/>
                <w:b w:val="0"/>
                <w:color w:val="000000"/>
                <w:sz w:val="20"/>
              </w:rPr>
              <w:t>Secondary.</w:t>
            </w:r>
          </w:p>
        </w:tc>
      </w:tr>
      <w:tr>
        <w:tc>
          <w:tcPr>
            <w:tcW w:type="dxa" w:w="2700"/>
          </w:tcPr>
          <w:p>
            <w:r>
              <w:rPr>
                <w:rFonts w:ascii="Arial" w:hAnsi="Arial"/>
                <w:b w:val="0"/>
                <w:color w:val="000000"/>
                <w:sz w:val="20"/>
              </w:rPr>
              <w:t>Post-food-MID optimal choice</w:t>
            </w:r>
          </w:p>
        </w:tc>
        <w:tc>
          <w:tcPr>
            <w:tcW w:type="dxa" w:w="2700"/>
          </w:tcPr>
          <w:p>
            <w:r>
              <w:rPr>
                <w:rFonts w:ascii="Arial" w:hAnsi="Arial"/>
                <w:b w:val="0"/>
                <w:color w:val="000000"/>
                <w:sz w:val="20"/>
              </w:rPr>
              <w:t>Probability of choosing currently highest-probability arm after food-MID probes.</w:t>
            </w:r>
          </w:p>
        </w:tc>
        <w:tc>
          <w:tcPr>
            <w:tcW w:type="dxa" w:w="2700"/>
          </w:tcPr>
          <w:p>
            <w:r>
              <w:rPr>
                <w:rFonts w:ascii="Arial" w:hAnsi="Arial"/>
                <w:b w:val="0"/>
                <w:color w:val="000000"/>
                <w:sz w:val="20"/>
              </w:rPr>
              <w:t>Adaptive choice under food-cued motivational context.</w:t>
            </w:r>
          </w:p>
        </w:tc>
        <w:tc>
          <w:tcPr>
            <w:tcW w:type="dxa" w:w="2700"/>
          </w:tcPr>
          <w:p>
            <w:r>
              <w:rPr>
                <w:rFonts w:ascii="Arial" w:hAnsi="Arial"/>
                <w:b w:val="0"/>
                <w:color w:val="000000"/>
                <w:sz w:val="20"/>
              </w:rPr>
              <w:t>Secondary; depends on learning phase.</w:t>
            </w:r>
          </w:p>
        </w:tc>
      </w:tr>
      <w:tr>
        <w:tc>
          <w:tcPr>
            <w:tcW w:type="dxa" w:w="2700"/>
          </w:tcPr>
          <w:p>
            <w:r>
              <w:rPr>
                <w:rFonts w:ascii="Arial" w:hAnsi="Arial"/>
                <w:b w:val="0"/>
                <w:color w:val="000000"/>
                <w:sz w:val="20"/>
              </w:rPr>
              <w:t>Exploration / switching</w:t>
            </w:r>
          </w:p>
        </w:tc>
        <w:tc>
          <w:tcPr>
            <w:tcW w:type="dxa" w:w="2700"/>
          </w:tcPr>
          <w:p>
            <w:r>
              <w:rPr>
                <w:rFonts w:ascii="Arial" w:hAnsi="Arial"/>
                <w:b w:val="0"/>
                <w:color w:val="000000"/>
                <w:sz w:val="20"/>
              </w:rPr>
              <w:t>Switch rate, choice entropy, lower-value arm choices.</w:t>
            </w:r>
          </w:p>
        </w:tc>
        <w:tc>
          <w:tcPr>
            <w:tcW w:type="dxa" w:w="2700"/>
          </w:tcPr>
          <w:p>
            <w:r>
              <w:rPr>
                <w:rFonts w:ascii="Arial" w:hAnsi="Arial"/>
                <w:b w:val="0"/>
                <w:color w:val="000000"/>
                <w:sz w:val="20"/>
              </w:rPr>
              <w:t>Exploration versus exploitation.</w:t>
            </w:r>
          </w:p>
        </w:tc>
        <w:tc>
          <w:tcPr>
            <w:tcW w:type="dxa" w:w="2700"/>
          </w:tcPr>
          <w:p>
            <w:r>
              <w:rPr>
                <w:rFonts w:ascii="Arial" w:hAnsi="Arial"/>
                <w:b w:val="0"/>
                <w:color w:val="000000"/>
                <w:sz w:val="20"/>
              </w:rPr>
              <w:t>Secondary or computational complement.</w:t>
            </w:r>
          </w:p>
        </w:tc>
      </w:tr>
      <w:tr>
        <w:tc>
          <w:tcPr>
            <w:tcW w:type="dxa" w:w="2700"/>
          </w:tcPr>
          <w:p>
            <w:r>
              <w:rPr>
                <w:rFonts w:ascii="Arial" w:hAnsi="Arial"/>
                <w:b w:val="0"/>
                <w:color w:val="000000"/>
                <w:sz w:val="20"/>
              </w:rPr>
              <w:t>Reversal adaptation / perseveration</w:t>
            </w:r>
          </w:p>
        </w:tc>
        <w:tc>
          <w:tcPr>
            <w:tcW w:type="dxa" w:w="2700"/>
          </w:tcPr>
          <w:p>
            <w:r>
              <w:rPr>
                <w:rFonts w:ascii="Arial" w:hAnsi="Arial"/>
                <w:b w:val="0"/>
                <w:color w:val="000000"/>
                <w:sz w:val="20"/>
              </w:rPr>
              <w:t>Speed of adaptation after reversal; continued choice of old best option.</w:t>
            </w:r>
          </w:p>
        </w:tc>
        <w:tc>
          <w:tcPr>
            <w:tcW w:type="dxa" w:w="2700"/>
          </w:tcPr>
          <w:p>
            <w:r>
              <w:rPr>
                <w:rFonts w:ascii="Arial" w:hAnsi="Arial"/>
                <w:b w:val="0"/>
                <w:color w:val="000000"/>
                <w:sz w:val="20"/>
              </w:rPr>
              <w:t>Flexibility and persistence.</w:t>
            </w:r>
          </w:p>
        </w:tc>
        <w:tc>
          <w:tcPr>
            <w:tcW w:type="dxa" w:w="2700"/>
          </w:tcPr>
          <w:p>
            <w:r>
              <w:rPr>
                <w:rFonts w:ascii="Arial" w:hAnsi="Arial"/>
                <w:b w:val="0"/>
                <w:color w:val="000000"/>
                <w:sz w:val="20"/>
              </w:rPr>
              <w:t>Secondary, especially if reversal is central.</w:t>
            </w:r>
          </w:p>
        </w:tc>
      </w:tr>
    </w:tbl>
    <w:p/>
    <w:p>
      <w:r>
        <w:rPr>
          <w:rFonts w:ascii="Arial" w:hAnsi="Arial"/>
          <w:b/>
          <w:color w:val="000000"/>
          <w:sz w:val="28"/>
        </w:rPr>
        <w:t>Table 4. Computational outcomes using between-subject food incentive vigor</w:t>
      </w:r>
    </w:p>
    <w:tbl>
      <w:tblPr>
        <w:tblStyle w:val="TableGrid"/>
        <w:tblW w:type="auto" w:w="0"/>
        <w:jc w:val="left"/>
        <w:tblLook w:firstColumn="1" w:firstRow="1" w:lastColumn="0" w:lastRow="0" w:noHBand="0" w:noVBand="1" w:val="04A0"/>
      </w:tblPr>
      <w:tblGrid>
        <w:gridCol w:w="2700"/>
        <w:gridCol w:w="2700"/>
        <w:gridCol w:w="2700"/>
        <w:gridCol w:w="2700"/>
      </w:tblGrid>
      <w:tr>
        <w:tc>
          <w:tcPr>
            <w:tcW w:type="dxa" w:w="2700"/>
          </w:tcPr>
          <w:p>
            <w:r>
              <w:rPr>
                <w:rFonts w:ascii="Arial" w:hAnsi="Arial"/>
                <w:b/>
                <w:color w:val="000000"/>
                <w:sz w:val="20"/>
              </w:rPr>
              <w:t>Computational outcome</w:t>
            </w:r>
          </w:p>
        </w:tc>
        <w:tc>
          <w:tcPr>
            <w:tcW w:type="dxa" w:w="2700"/>
          </w:tcPr>
          <w:p>
            <w:r>
              <w:rPr>
                <w:rFonts w:ascii="Arial" w:hAnsi="Arial"/>
                <w:b/>
                <w:color w:val="000000"/>
                <w:sz w:val="20"/>
              </w:rPr>
              <w:t>Model expression</w:t>
            </w:r>
          </w:p>
        </w:tc>
        <w:tc>
          <w:tcPr>
            <w:tcW w:type="dxa" w:w="2700"/>
          </w:tcPr>
          <w:p>
            <w:r>
              <w:rPr>
                <w:rFonts w:ascii="Arial" w:hAnsi="Arial"/>
                <w:b/>
                <w:color w:val="000000"/>
                <w:sz w:val="20"/>
              </w:rPr>
              <w:t>Main coefficient</w:t>
            </w:r>
          </w:p>
        </w:tc>
        <w:tc>
          <w:tcPr>
            <w:tcW w:type="dxa" w:w="2700"/>
          </w:tcPr>
          <w:p>
            <w:r>
              <w:rPr>
                <w:rFonts w:ascii="Arial" w:hAnsi="Arial"/>
                <w:b/>
                <w:color w:val="000000"/>
                <w:sz w:val="20"/>
              </w:rPr>
              <w:t>Interpretation</w:t>
            </w:r>
          </w:p>
        </w:tc>
      </w:tr>
      <w:tr>
        <w:tc>
          <w:tcPr>
            <w:tcW w:type="dxa" w:w="2700"/>
          </w:tcPr>
          <w:p>
            <w:r>
              <w:rPr>
                <w:rFonts w:ascii="Arial" w:hAnsi="Arial"/>
                <w:b w:val="0"/>
                <w:color w:val="000000"/>
                <w:sz w:val="20"/>
              </w:rPr>
              <w:t>Reward sensitivity</w:t>
            </w:r>
          </w:p>
        </w:tc>
        <w:tc>
          <w:tcPr>
            <w:tcW w:type="dxa" w:w="2700"/>
          </w:tcPr>
          <w:p>
            <w:r>
              <w:rPr>
                <w:rFonts w:ascii="Arial" w:hAnsi="Arial"/>
                <w:b w:val="0"/>
                <w:color w:val="000000"/>
                <w:sz w:val="20"/>
              </w:rPr>
              <w:t>rho_i = rho_0 + gamma * food_vigor_i</w:t>
            </w:r>
          </w:p>
        </w:tc>
        <w:tc>
          <w:tcPr>
            <w:tcW w:type="dxa" w:w="2700"/>
          </w:tcPr>
          <w:p>
            <w:r>
              <w:rPr>
                <w:rFonts w:ascii="Arial" w:hAnsi="Arial"/>
                <w:b w:val="0"/>
                <w:color w:val="000000"/>
                <w:sz w:val="20"/>
              </w:rPr>
              <w:t>gamma_vigor_to_rho</w:t>
            </w:r>
          </w:p>
        </w:tc>
        <w:tc>
          <w:tcPr>
            <w:tcW w:type="dxa" w:w="2700"/>
          </w:tcPr>
          <w:p>
            <w:r>
              <w:rPr>
                <w:rFonts w:ascii="Arial" w:hAnsi="Arial"/>
                <w:b w:val="0"/>
                <w:color w:val="000000"/>
                <w:sz w:val="20"/>
              </w:rPr>
              <w:t>Do participants with higher food-cued incentive vigor treat rewards as more impactful during learning?</w:t>
            </w:r>
          </w:p>
        </w:tc>
      </w:tr>
      <w:tr>
        <w:tc>
          <w:tcPr>
            <w:tcW w:type="dxa" w:w="2700"/>
          </w:tcPr>
          <w:p>
            <w:r>
              <w:rPr>
                <w:rFonts w:ascii="Arial" w:hAnsi="Arial"/>
                <w:b w:val="0"/>
                <w:color w:val="000000"/>
                <w:sz w:val="20"/>
              </w:rPr>
              <w:t>Positive learning rate</w:t>
            </w:r>
          </w:p>
        </w:tc>
        <w:tc>
          <w:tcPr>
            <w:tcW w:type="dxa" w:w="2700"/>
          </w:tcPr>
          <w:p>
            <w:r>
              <w:rPr>
                <w:rFonts w:ascii="Arial" w:hAnsi="Arial"/>
                <w:b w:val="0"/>
                <w:color w:val="000000"/>
                <w:sz w:val="20"/>
              </w:rPr>
              <w:t>alpha+_i = alpha+_0 + gamma * food_vigor_i</w:t>
            </w:r>
          </w:p>
        </w:tc>
        <w:tc>
          <w:tcPr>
            <w:tcW w:type="dxa" w:w="2700"/>
          </w:tcPr>
          <w:p>
            <w:r>
              <w:rPr>
                <w:rFonts w:ascii="Arial" w:hAnsi="Arial"/>
                <w:b w:val="0"/>
                <w:color w:val="000000"/>
                <w:sz w:val="20"/>
              </w:rPr>
              <w:t>gamma_vigor_to_alpha+</w:t>
            </w:r>
          </w:p>
        </w:tc>
        <w:tc>
          <w:tcPr>
            <w:tcW w:type="dxa" w:w="2700"/>
          </w:tcPr>
          <w:p>
            <w:r>
              <w:rPr>
                <w:rFonts w:ascii="Arial" w:hAnsi="Arial"/>
                <w:b w:val="0"/>
                <w:color w:val="000000"/>
                <w:sz w:val="20"/>
              </w:rPr>
              <w:t>Do participants with higher food-cued incentive vigor learn more from rewarded outcomes?</w:t>
            </w:r>
          </w:p>
        </w:tc>
      </w:tr>
      <w:tr>
        <w:tc>
          <w:tcPr>
            <w:tcW w:type="dxa" w:w="2700"/>
          </w:tcPr>
          <w:p>
            <w:r>
              <w:rPr>
                <w:rFonts w:ascii="Arial" w:hAnsi="Arial"/>
                <w:b w:val="0"/>
                <w:color w:val="000000"/>
                <w:sz w:val="20"/>
              </w:rPr>
              <w:t>Negative learning rate</w:t>
            </w:r>
          </w:p>
        </w:tc>
        <w:tc>
          <w:tcPr>
            <w:tcW w:type="dxa" w:w="2700"/>
          </w:tcPr>
          <w:p>
            <w:r>
              <w:rPr>
                <w:rFonts w:ascii="Arial" w:hAnsi="Arial"/>
                <w:b w:val="0"/>
                <w:color w:val="000000"/>
                <w:sz w:val="20"/>
              </w:rPr>
              <w:t>alpha-_i = alpha-_0 + gamma * food_vigor_i</w:t>
            </w:r>
          </w:p>
        </w:tc>
        <w:tc>
          <w:tcPr>
            <w:tcW w:type="dxa" w:w="2700"/>
          </w:tcPr>
          <w:p>
            <w:r>
              <w:rPr>
                <w:rFonts w:ascii="Arial" w:hAnsi="Arial"/>
                <w:b w:val="0"/>
                <w:color w:val="000000"/>
                <w:sz w:val="20"/>
              </w:rPr>
              <w:t>gamma_vigor_to_alpha-</w:t>
            </w:r>
          </w:p>
        </w:tc>
        <w:tc>
          <w:tcPr>
            <w:tcW w:type="dxa" w:w="2700"/>
          </w:tcPr>
          <w:p>
            <w:r>
              <w:rPr>
                <w:rFonts w:ascii="Arial" w:hAnsi="Arial"/>
                <w:b w:val="0"/>
                <w:color w:val="000000"/>
                <w:sz w:val="20"/>
              </w:rPr>
              <w:t>Do participants with higher food-cued incentive vigor update more from omissions/nonreward?</w:t>
            </w:r>
          </w:p>
        </w:tc>
      </w:tr>
      <w:tr>
        <w:tc>
          <w:tcPr>
            <w:tcW w:type="dxa" w:w="2700"/>
          </w:tcPr>
          <w:p>
            <w:r>
              <w:rPr>
                <w:rFonts w:ascii="Arial" w:hAnsi="Arial"/>
                <w:b w:val="0"/>
                <w:color w:val="000000"/>
                <w:sz w:val="20"/>
              </w:rPr>
              <w:t>Choice consistency / exploitation</w:t>
            </w:r>
          </w:p>
        </w:tc>
        <w:tc>
          <w:tcPr>
            <w:tcW w:type="dxa" w:w="2700"/>
          </w:tcPr>
          <w:p>
            <w:r>
              <w:rPr>
                <w:rFonts w:ascii="Arial" w:hAnsi="Arial"/>
                <w:b w:val="0"/>
                <w:color w:val="000000"/>
                <w:sz w:val="20"/>
              </w:rPr>
              <w:t>beta_i = beta_0 + gamma * food_vigor_i</w:t>
            </w:r>
          </w:p>
        </w:tc>
        <w:tc>
          <w:tcPr>
            <w:tcW w:type="dxa" w:w="2700"/>
          </w:tcPr>
          <w:p>
            <w:r>
              <w:rPr>
                <w:rFonts w:ascii="Arial" w:hAnsi="Arial"/>
                <w:b w:val="0"/>
                <w:color w:val="000000"/>
                <w:sz w:val="20"/>
              </w:rPr>
              <w:t>gamma_vigor_to_beta</w:t>
            </w:r>
          </w:p>
        </w:tc>
        <w:tc>
          <w:tcPr>
            <w:tcW w:type="dxa" w:w="2700"/>
          </w:tcPr>
          <w:p>
            <w:r>
              <w:rPr>
                <w:rFonts w:ascii="Arial" w:hAnsi="Arial"/>
                <w:b w:val="0"/>
                <w:color w:val="000000"/>
                <w:sz w:val="20"/>
              </w:rPr>
              <w:t>Do participants with higher food-cued incentive vigor make more value-guided choices?</w:t>
            </w:r>
          </w:p>
        </w:tc>
      </w:tr>
      <w:tr>
        <w:tc>
          <w:tcPr>
            <w:tcW w:type="dxa" w:w="2700"/>
          </w:tcPr>
          <w:p>
            <w:r>
              <w:rPr>
                <w:rFonts w:ascii="Arial" w:hAnsi="Arial"/>
                <w:b w:val="0"/>
                <w:color w:val="000000"/>
                <w:sz w:val="20"/>
              </w:rPr>
              <w:t>Stickiness / perseveration</w:t>
            </w:r>
          </w:p>
        </w:tc>
        <w:tc>
          <w:tcPr>
            <w:tcW w:type="dxa" w:w="2700"/>
          </w:tcPr>
          <w:p>
            <w:r>
              <w:rPr>
                <w:rFonts w:ascii="Arial" w:hAnsi="Arial"/>
                <w:b w:val="0"/>
                <w:color w:val="000000"/>
                <w:sz w:val="20"/>
              </w:rPr>
              <w:t>stickiness_i = kappa_0 + gamma * food_vigor_i</w:t>
            </w:r>
          </w:p>
        </w:tc>
        <w:tc>
          <w:tcPr>
            <w:tcW w:type="dxa" w:w="2700"/>
          </w:tcPr>
          <w:p>
            <w:r>
              <w:rPr>
                <w:rFonts w:ascii="Arial" w:hAnsi="Arial"/>
                <w:b w:val="0"/>
                <w:color w:val="000000"/>
                <w:sz w:val="20"/>
              </w:rPr>
              <w:t>gamma_vigor_to_kappa</w:t>
            </w:r>
          </w:p>
        </w:tc>
        <w:tc>
          <w:tcPr>
            <w:tcW w:type="dxa" w:w="2700"/>
          </w:tcPr>
          <w:p>
            <w:r>
              <w:rPr>
                <w:rFonts w:ascii="Arial" w:hAnsi="Arial"/>
                <w:b w:val="0"/>
                <w:color w:val="000000"/>
                <w:sz w:val="20"/>
              </w:rPr>
              <w:t>Do participants with higher food-cued incentive vigor repeat prior actions independent of value?</w:t>
            </w:r>
          </w:p>
        </w:tc>
      </w:tr>
      <w:tr>
        <w:tc>
          <w:tcPr>
            <w:tcW w:type="dxa" w:w="2700"/>
          </w:tcPr>
          <w:p>
            <w:r>
              <w:rPr>
                <w:rFonts w:ascii="Arial" w:hAnsi="Arial"/>
                <w:b w:val="0"/>
                <w:color w:val="000000"/>
                <w:sz w:val="20"/>
              </w:rPr>
              <w:t>Behavioral PE impact</w:t>
            </w:r>
          </w:p>
        </w:tc>
        <w:tc>
          <w:tcPr>
            <w:tcW w:type="dxa" w:w="2700"/>
          </w:tcPr>
          <w:p>
            <w:r>
              <w:rPr>
                <w:rFonts w:ascii="Arial" w:hAnsi="Arial"/>
                <w:b w:val="0"/>
                <w:color w:val="000000"/>
                <w:sz w:val="20"/>
              </w:rPr>
              <w:t>stay/switch ~ PE * food_vigor_i</w:t>
            </w:r>
          </w:p>
        </w:tc>
        <w:tc>
          <w:tcPr>
            <w:tcW w:type="dxa" w:w="2700"/>
          </w:tcPr>
          <w:p>
            <w:r>
              <w:rPr>
                <w:rFonts w:ascii="Arial" w:hAnsi="Arial"/>
                <w:b w:val="0"/>
                <w:color w:val="000000"/>
                <w:sz w:val="20"/>
              </w:rPr>
              <w:t>PE x vigor interaction</w:t>
            </w:r>
          </w:p>
        </w:tc>
        <w:tc>
          <w:tcPr>
            <w:tcW w:type="dxa" w:w="2700"/>
          </w:tcPr>
          <w:p>
            <w:r>
              <w:rPr>
                <w:rFonts w:ascii="Arial" w:hAnsi="Arial"/>
                <w:b w:val="0"/>
                <w:color w:val="000000"/>
                <w:sz w:val="20"/>
              </w:rPr>
              <w:t>Does prediction-error-driven behavior vary by food-cued incentive vigor?</w:t>
            </w:r>
          </w:p>
        </w:tc>
      </w:tr>
    </w:tbl>
    <w:p/>
    <w:p>
      <w:r>
        <w:rPr>
          <w:rFonts w:ascii="Arial" w:hAnsi="Arial"/>
          <w:b/>
          <w:color w:val="000000"/>
          <w:sz w:val="28"/>
        </w:rPr>
        <w:t>Table 5. Recommended covariates and QC flags</w:t>
      </w:r>
    </w:p>
    <w:tbl>
      <w:tblPr>
        <w:tblStyle w:val="TableGrid"/>
        <w:tblW w:type="auto" w:w="0"/>
        <w:jc w:val="left"/>
        <w:tblLook w:firstColumn="1" w:firstRow="1" w:lastColumn="0" w:lastRow="0" w:noHBand="0" w:noVBand="1" w:val="04A0"/>
      </w:tblPr>
      <w:tblGrid>
        <w:gridCol w:w="3600"/>
        <w:gridCol w:w="3600"/>
        <w:gridCol w:w="3600"/>
      </w:tblGrid>
      <w:tr>
        <w:tc>
          <w:tcPr>
            <w:tcW w:type="dxa" w:w="3600"/>
          </w:tcPr>
          <w:p>
            <w:r>
              <w:rPr>
                <w:rFonts w:ascii="Arial" w:hAnsi="Arial"/>
                <w:b/>
                <w:color w:val="000000"/>
                <w:sz w:val="20"/>
              </w:rPr>
              <w:t>Variable</w:t>
            </w:r>
          </w:p>
        </w:tc>
        <w:tc>
          <w:tcPr>
            <w:tcW w:type="dxa" w:w="3600"/>
          </w:tcPr>
          <w:p>
            <w:r>
              <w:rPr>
                <w:rFonts w:ascii="Arial" w:hAnsi="Arial"/>
                <w:b/>
                <w:color w:val="000000"/>
                <w:sz w:val="20"/>
              </w:rPr>
              <w:t>Why include it?</w:t>
            </w:r>
          </w:p>
        </w:tc>
        <w:tc>
          <w:tcPr>
            <w:tcW w:type="dxa" w:w="3600"/>
          </w:tcPr>
          <w:p>
            <w:r>
              <w:rPr>
                <w:rFonts w:ascii="Arial" w:hAnsi="Arial"/>
                <w:b/>
                <w:color w:val="000000"/>
                <w:sz w:val="20"/>
              </w:rPr>
              <w:t>Use</w:t>
            </w:r>
          </w:p>
        </w:tc>
      </w:tr>
      <w:tr>
        <w:tc>
          <w:tcPr>
            <w:tcW w:type="dxa" w:w="3600"/>
          </w:tcPr>
          <w:p>
            <w:r>
              <w:rPr>
                <w:rFonts w:ascii="Arial" w:hAnsi="Arial"/>
                <w:b w:val="0"/>
                <w:color w:val="000000"/>
                <w:sz w:val="20"/>
              </w:rPr>
              <w:t>Median bandit choice RT</w:t>
            </w:r>
          </w:p>
        </w:tc>
        <w:tc>
          <w:tcPr>
            <w:tcW w:type="dxa" w:w="3600"/>
          </w:tcPr>
          <w:p>
            <w:r>
              <w:rPr>
                <w:rFonts w:ascii="Arial" w:hAnsi="Arial"/>
                <w:b w:val="0"/>
                <w:color w:val="000000"/>
                <w:sz w:val="20"/>
              </w:rPr>
              <w:t>Controls general motor speed and task pace.</w:t>
            </w:r>
          </w:p>
        </w:tc>
        <w:tc>
          <w:tcPr>
            <w:tcW w:type="dxa" w:w="3600"/>
          </w:tcPr>
          <w:p>
            <w:r>
              <w:rPr>
                <w:rFonts w:ascii="Arial" w:hAnsi="Arial"/>
                <w:b w:val="0"/>
                <w:color w:val="000000"/>
                <w:sz w:val="20"/>
              </w:rPr>
              <w:t>Covariate when predicting learning from food-MID RT.</w:t>
            </w:r>
          </w:p>
        </w:tc>
      </w:tr>
      <w:tr>
        <w:tc>
          <w:tcPr>
            <w:tcW w:type="dxa" w:w="3600"/>
          </w:tcPr>
          <w:p>
            <w:r>
              <w:rPr>
                <w:rFonts w:ascii="Arial" w:hAnsi="Arial"/>
                <w:b w:val="0"/>
                <w:color w:val="000000"/>
                <w:sz w:val="20"/>
              </w:rPr>
              <w:t>MID hit rate</w:t>
            </w:r>
          </w:p>
        </w:tc>
        <w:tc>
          <w:tcPr>
            <w:tcW w:type="dxa" w:w="3600"/>
          </w:tcPr>
          <w:p>
            <w:r>
              <w:rPr>
                <w:rFonts w:ascii="Arial" w:hAnsi="Arial"/>
                <w:b w:val="0"/>
                <w:color w:val="000000"/>
                <w:sz w:val="20"/>
              </w:rPr>
              <w:t>Captures task success and engagement; no longer indexes target calibration, since the deadline is fixed.</w:t>
            </w:r>
          </w:p>
        </w:tc>
        <w:tc>
          <w:tcPr>
            <w:tcW w:type="dxa" w:w="3600"/>
          </w:tcPr>
          <w:p>
            <w:r>
              <w:rPr>
                <w:rFonts w:ascii="Arial" w:hAnsi="Arial"/>
                <w:b w:val="0"/>
                <w:color w:val="000000"/>
                <w:sz w:val="20"/>
              </w:rPr>
              <w:t>QC and covariate.</w:t>
            </w:r>
          </w:p>
        </w:tc>
      </w:tr>
      <w:tr>
        <w:tc>
          <w:tcPr>
            <w:tcW w:type="dxa" w:w="3600"/>
          </w:tcPr>
          <w:p>
            <w:r>
              <w:rPr>
                <w:rFonts w:ascii="Arial" w:hAnsi="Arial"/>
                <w:b w:val="0"/>
                <w:color w:val="000000"/>
                <w:sz w:val="20"/>
              </w:rPr>
              <w:t>Anticipatory response rate</w:t>
            </w:r>
          </w:p>
        </w:tc>
        <w:tc>
          <w:tcPr>
            <w:tcW w:type="dxa" w:w="3600"/>
          </w:tcPr>
          <w:p>
            <w:r>
              <w:rPr>
                <w:rFonts w:ascii="Arial" w:hAnsi="Arial"/>
                <w:b w:val="0"/>
                <w:color w:val="000000"/>
                <w:sz w:val="20"/>
              </w:rPr>
              <w:t>Flags premature responding or impulsive motor strategy.</w:t>
            </w:r>
          </w:p>
        </w:tc>
        <w:tc>
          <w:tcPr>
            <w:tcW w:type="dxa" w:w="3600"/>
          </w:tcPr>
          <w:p>
            <w:r>
              <w:rPr>
                <w:rFonts w:ascii="Arial" w:hAnsi="Arial"/>
                <w:b w:val="0"/>
                <w:color w:val="000000"/>
                <w:sz w:val="20"/>
              </w:rPr>
              <w:t>QC; consider exclusion or sensitivity analysis.</w:t>
            </w:r>
          </w:p>
        </w:tc>
      </w:tr>
      <w:tr>
        <w:tc>
          <w:tcPr>
            <w:tcW w:type="dxa" w:w="3600"/>
          </w:tcPr>
          <w:p>
            <w:r>
              <w:rPr>
                <w:rFonts w:ascii="Arial" w:hAnsi="Arial"/>
                <w:b w:val="0"/>
                <w:color w:val="000000"/>
                <w:sz w:val="20"/>
              </w:rPr>
              <w:t>Missed bandit choices</w:t>
            </w:r>
          </w:p>
        </w:tc>
        <w:tc>
          <w:tcPr>
            <w:tcW w:type="dxa" w:w="3600"/>
          </w:tcPr>
          <w:p>
            <w:r>
              <w:rPr>
                <w:rFonts w:ascii="Arial" w:hAnsi="Arial"/>
                <w:b w:val="0"/>
                <w:color w:val="000000"/>
                <w:sz w:val="20"/>
              </w:rPr>
              <w:t>Indexes disengagement or task difficulty.</w:t>
            </w:r>
          </w:p>
        </w:tc>
        <w:tc>
          <w:tcPr>
            <w:tcW w:type="dxa" w:w="3600"/>
          </w:tcPr>
          <w:p>
            <w:r>
              <w:rPr>
                <w:rFonts w:ascii="Arial" w:hAnsi="Arial"/>
                <w:b w:val="0"/>
                <w:color w:val="000000"/>
                <w:sz w:val="20"/>
              </w:rPr>
              <w:t>QC/exclusion flag.</w:t>
            </w:r>
          </w:p>
        </w:tc>
      </w:tr>
      <w:tr>
        <w:tc>
          <w:tcPr>
            <w:tcW w:type="dxa" w:w="3600"/>
          </w:tcPr>
          <w:p>
            <w:r>
              <w:rPr>
                <w:rFonts w:ascii="Arial" w:hAnsi="Arial"/>
                <w:b w:val="0"/>
                <w:color w:val="000000"/>
                <w:sz w:val="20"/>
              </w:rPr>
              <w:t>Time-on-task / trial number</w:t>
            </w:r>
          </w:p>
        </w:tc>
        <w:tc>
          <w:tcPr>
            <w:tcW w:type="dxa" w:w="3600"/>
          </w:tcPr>
          <w:p>
            <w:r>
              <w:rPr>
                <w:rFonts w:ascii="Arial" w:hAnsi="Arial"/>
                <w:b w:val="0"/>
                <w:color w:val="000000"/>
                <w:sz w:val="20"/>
              </w:rPr>
              <w:t>Controls fatigue and slowing over the task.</w:t>
            </w:r>
          </w:p>
        </w:tc>
        <w:tc>
          <w:tcPr>
            <w:tcW w:type="dxa" w:w="3600"/>
          </w:tcPr>
          <w:p>
            <w:r>
              <w:rPr>
                <w:rFonts w:ascii="Arial" w:hAnsi="Arial"/>
                <w:b w:val="0"/>
                <w:color w:val="000000"/>
                <w:sz w:val="20"/>
              </w:rPr>
              <w:t>Covariate or sensitivity analysis.</w:t>
            </w:r>
          </w:p>
        </w:tc>
      </w:tr>
      <w:tr>
        <w:tc>
          <w:tcPr>
            <w:tcW w:type="dxa" w:w="3600"/>
          </w:tcPr>
          <w:p>
            <w:r>
              <w:rPr>
                <w:rFonts w:ascii="Arial" w:hAnsi="Arial"/>
                <w:b w:val="0"/>
                <w:color w:val="000000"/>
                <w:sz w:val="20"/>
              </w:rPr>
              <w:t>Explicit wanting</w:t>
            </w:r>
          </w:p>
        </w:tc>
        <w:tc>
          <w:tcPr>
            <w:tcW w:type="dxa" w:w="3600"/>
          </w:tcPr>
          <w:p>
            <w:r>
              <w:rPr>
                <w:rFonts w:ascii="Arial" w:hAnsi="Arial"/>
                <w:b w:val="0"/>
                <w:color w:val="000000"/>
                <w:sz w:val="20"/>
              </w:rPr>
              <w:t>Tests whether implicit food vigor explains unique or overlapping variance.</w:t>
            </w:r>
          </w:p>
        </w:tc>
        <w:tc>
          <w:tcPr>
            <w:tcW w:type="dxa" w:w="3600"/>
          </w:tcPr>
          <w:p>
            <w:r>
              <w:rPr>
                <w:rFonts w:ascii="Arial" w:hAnsi="Arial"/>
                <w:b w:val="0"/>
                <w:color w:val="000000"/>
                <w:sz w:val="20"/>
              </w:rPr>
              <w:t>Validation and moderator.</w:t>
            </w:r>
          </w:p>
        </w:tc>
      </w:tr>
      <w:tr>
        <w:tc>
          <w:tcPr>
            <w:tcW w:type="dxa" w:w="3600"/>
          </w:tcPr>
          <w:p>
            <w:r>
              <w:rPr>
                <w:rFonts w:ascii="Arial" w:hAnsi="Arial"/>
                <w:b w:val="0"/>
                <w:color w:val="000000"/>
                <w:sz w:val="20"/>
              </w:rPr>
              <w:t>Hunger or satiety, if available</w:t>
            </w:r>
          </w:p>
        </w:tc>
        <w:tc>
          <w:tcPr>
            <w:tcW w:type="dxa" w:w="3600"/>
          </w:tcPr>
          <w:p>
            <w:r>
              <w:rPr>
                <w:rFonts w:ascii="Arial" w:hAnsi="Arial"/>
                <w:b w:val="0"/>
                <w:color w:val="000000"/>
                <w:sz w:val="20"/>
              </w:rPr>
              <w:t>Controls current food-relevant state.</w:t>
            </w:r>
          </w:p>
        </w:tc>
        <w:tc>
          <w:tcPr>
            <w:tcW w:type="dxa" w:w="3600"/>
          </w:tcPr>
          <w:p>
            <w:r>
              <w:rPr>
                <w:rFonts w:ascii="Arial" w:hAnsi="Arial"/>
                <w:b w:val="0"/>
                <w:color w:val="000000"/>
                <w:sz w:val="20"/>
              </w:rPr>
              <w:t>Covariate; potentially moderator.</w:t>
            </w:r>
          </w:p>
        </w:tc>
      </w:tr>
    </w:tbl>
    <w:p/>
    <w:p>
      <w:r>
        <w:rPr>
          <w:rFonts w:ascii="Arial" w:hAnsi="Arial"/>
          <w:b/>
          <w:color w:val="000000"/>
          <w:sz w:val="28"/>
        </w:rPr>
        <w:t>Preferred preregistered hypothesis set</w:t>
      </w:r>
    </w:p>
    <w:tbl>
      <w:tblPr>
        <w:tblStyle w:val="TableGrid"/>
        <w:tblW w:type="auto" w:w="0"/>
        <w:jc w:val="left"/>
        <w:tblLook w:firstColumn="1" w:firstRow="1" w:lastColumn="0" w:lastRow="0" w:noHBand="0" w:noVBand="1" w:val="04A0"/>
      </w:tblPr>
      <w:tblGrid>
        <w:gridCol w:w="3600"/>
        <w:gridCol w:w="3600"/>
        <w:gridCol w:w="3600"/>
      </w:tblGrid>
      <w:tr>
        <w:tc>
          <w:tcPr>
            <w:tcW w:type="dxa" w:w="3600"/>
          </w:tcPr>
          <w:p>
            <w:r>
              <w:rPr>
                <w:rFonts w:ascii="Arial" w:hAnsi="Arial"/>
                <w:b/>
                <w:color w:val="000000"/>
                <w:sz w:val="20"/>
              </w:rPr>
              <w:t>Hypothesis level</w:t>
            </w:r>
          </w:p>
        </w:tc>
        <w:tc>
          <w:tcPr>
            <w:tcW w:type="dxa" w:w="3600"/>
          </w:tcPr>
          <w:p>
            <w:r>
              <w:rPr>
                <w:rFonts w:ascii="Arial" w:hAnsi="Arial"/>
                <w:b/>
                <w:color w:val="000000"/>
                <w:sz w:val="20"/>
              </w:rPr>
              <w:t>Hypothesis</w:t>
            </w:r>
          </w:p>
        </w:tc>
        <w:tc>
          <w:tcPr>
            <w:tcW w:type="dxa" w:w="3600"/>
          </w:tcPr>
          <w:p>
            <w:r>
              <w:rPr>
                <w:rFonts w:ascii="Arial" w:hAnsi="Arial"/>
                <w:b/>
                <w:color w:val="000000"/>
                <w:sz w:val="20"/>
              </w:rPr>
              <w:t>Most relevant outcome</w:t>
            </w:r>
          </w:p>
        </w:tc>
      </w:tr>
      <w:tr>
        <w:tc>
          <w:tcPr>
            <w:tcW w:type="dxa" w:w="3600"/>
          </w:tcPr>
          <w:p>
            <w:r>
              <w:rPr>
                <w:rFonts w:ascii="Arial" w:hAnsi="Arial"/>
                <w:b w:val="0"/>
                <w:color w:val="000000"/>
                <w:sz w:val="20"/>
              </w:rPr>
              <w:t>Primary</w:t>
            </w:r>
          </w:p>
        </w:tc>
        <w:tc>
          <w:tcPr>
            <w:tcW w:type="dxa" w:w="3600"/>
          </w:tcPr>
          <w:p>
            <w:r>
              <w:rPr>
                <w:rFonts w:ascii="Arial" w:hAnsi="Arial"/>
                <w:b w:val="0"/>
                <w:color w:val="000000"/>
                <w:sz w:val="20"/>
              </w:rPr>
              <w:t>Participants with greater food-cued incentive vigor will show greater reward sensitivity during probabilistic learning.</w:t>
            </w:r>
          </w:p>
        </w:tc>
        <w:tc>
          <w:tcPr>
            <w:tcW w:type="dxa" w:w="3600"/>
          </w:tcPr>
          <w:p>
            <w:r>
              <w:rPr>
                <w:rFonts w:ascii="Arial" w:hAnsi="Arial"/>
                <w:b w:val="0"/>
                <w:color w:val="000000"/>
                <w:sz w:val="20"/>
              </w:rPr>
              <w:t>food_vigor_i -&gt; rho_i</w:t>
            </w:r>
          </w:p>
        </w:tc>
      </w:tr>
      <w:tr>
        <w:tc>
          <w:tcPr>
            <w:tcW w:type="dxa" w:w="3600"/>
          </w:tcPr>
          <w:p>
            <w:r>
              <w:rPr>
                <w:rFonts w:ascii="Arial" w:hAnsi="Arial"/>
                <w:b w:val="0"/>
                <w:color w:val="000000"/>
                <w:sz w:val="20"/>
              </w:rPr>
              <w:t>Secondary</w:t>
            </w:r>
          </w:p>
        </w:tc>
        <w:tc>
          <w:tcPr>
            <w:tcW w:type="dxa" w:w="3600"/>
          </w:tcPr>
          <w:p>
            <w:r>
              <w:rPr>
                <w:rFonts w:ascii="Arial" w:hAnsi="Arial"/>
                <w:b w:val="0"/>
                <w:color w:val="000000"/>
                <w:sz w:val="20"/>
              </w:rPr>
              <w:t>Participants with greater food-cued incentive vigor will show stronger learning from rewarded outcomes.</w:t>
            </w:r>
          </w:p>
        </w:tc>
        <w:tc>
          <w:tcPr>
            <w:tcW w:type="dxa" w:w="3600"/>
          </w:tcPr>
          <w:p>
            <w:r>
              <w:rPr>
                <w:rFonts w:ascii="Arial" w:hAnsi="Arial"/>
                <w:b w:val="0"/>
                <w:color w:val="000000"/>
                <w:sz w:val="20"/>
              </w:rPr>
              <w:t>food_vigor_i -&gt; alpha+_i</w:t>
            </w:r>
          </w:p>
        </w:tc>
      </w:tr>
      <w:tr>
        <w:tc>
          <w:tcPr>
            <w:tcW w:type="dxa" w:w="3600"/>
          </w:tcPr>
          <w:p>
            <w:r>
              <w:rPr>
                <w:rFonts w:ascii="Arial" w:hAnsi="Arial"/>
                <w:b w:val="0"/>
                <w:color w:val="000000"/>
                <w:sz w:val="20"/>
              </w:rPr>
              <w:t>Secondary</w:t>
            </w:r>
          </w:p>
        </w:tc>
        <w:tc>
          <w:tcPr>
            <w:tcW w:type="dxa" w:w="3600"/>
          </w:tcPr>
          <w:p>
            <w:r>
              <w:rPr>
                <w:rFonts w:ascii="Arial" w:hAnsi="Arial"/>
                <w:b w:val="0"/>
                <w:color w:val="000000"/>
                <w:sz w:val="20"/>
              </w:rPr>
              <w:t>Participants with greater food-cued incentive vigor will show more value-guided or exploitative choice.</w:t>
            </w:r>
          </w:p>
        </w:tc>
        <w:tc>
          <w:tcPr>
            <w:tcW w:type="dxa" w:w="3600"/>
          </w:tcPr>
          <w:p>
            <w:r>
              <w:rPr>
                <w:rFonts w:ascii="Arial" w:hAnsi="Arial"/>
                <w:b w:val="0"/>
                <w:color w:val="000000"/>
                <w:sz w:val="20"/>
              </w:rPr>
              <w:t>food_vigor_i -&gt; beta_i</w:t>
            </w:r>
          </w:p>
        </w:tc>
      </w:tr>
      <w:tr>
        <w:tc>
          <w:tcPr>
            <w:tcW w:type="dxa" w:w="3600"/>
          </w:tcPr>
          <w:p>
            <w:r>
              <w:rPr>
                <w:rFonts w:ascii="Arial" w:hAnsi="Arial"/>
                <w:b w:val="0"/>
                <w:color w:val="000000"/>
                <w:sz w:val="20"/>
              </w:rPr>
              <w:t>Behavioral validation</w:t>
            </w:r>
          </w:p>
        </w:tc>
        <w:tc>
          <w:tcPr>
            <w:tcW w:type="dxa" w:w="3600"/>
          </w:tcPr>
          <w:p>
            <w:r>
              <w:rPr>
                <w:rFonts w:ascii="Arial" w:hAnsi="Arial"/>
                <w:b w:val="0"/>
                <w:color w:val="000000"/>
                <w:sz w:val="20"/>
              </w:rPr>
              <w:t>Participants with greater food-cued incentive vigor will show stronger win-stay behavior.</w:t>
            </w:r>
          </w:p>
        </w:tc>
        <w:tc>
          <w:tcPr>
            <w:tcW w:type="dxa" w:w="3600"/>
          </w:tcPr>
          <w:p>
            <w:r>
              <w:rPr>
                <w:rFonts w:ascii="Arial" w:hAnsi="Arial"/>
                <w:b w:val="0"/>
                <w:color w:val="000000"/>
                <w:sz w:val="20"/>
              </w:rPr>
              <w:t>food_vigor_i -&gt; win-stay</w:t>
            </w:r>
          </w:p>
        </w:tc>
      </w:tr>
      <w:tr>
        <w:tc>
          <w:tcPr>
            <w:tcW w:type="dxa" w:w="3600"/>
          </w:tcPr>
          <w:p>
            <w:r>
              <w:rPr>
                <w:rFonts w:ascii="Arial" w:hAnsi="Arial"/>
                <w:b w:val="0"/>
                <w:color w:val="000000"/>
                <w:sz w:val="20"/>
              </w:rPr>
              <w:t>Exploratory</w:t>
            </w:r>
          </w:p>
        </w:tc>
        <w:tc>
          <w:tcPr>
            <w:tcW w:type="dxa" w:w="3600"/>
          </w:tcPr>
          <w:p>
            <w:r>
              <w:rPr>
                <w:rFonts w:ascii="Arial" w:hAnsi="Arial"/>
                <w:b w:val="0"/>
                <w:color w:val="000000"/>
                <w:sz w:val="20"/>
              </w:rPr>
              <w:t>Implicit food-cued vigor and explicit wanting will show partial convergence but may explain distinct variance.</w:t>
            </w:r>
          </w:p>
        </w:tc>
        <w:tc>
          <w:tcPr>
            <w:tcW w:type="dxa" w:w="3600"/>
          </w:tcPr>
          <w:p>
            <w:r>
              <w:rPr>
                <w:rFonts w:ascii="Arial" w:hAnsi="Arial"/>
                <w:b w:val="0"/>
                <w:color w:val="000000"/>
                <w:sz w:val="20"/>
              </w:rPr>
              <w:t>food_vigor_i, wanting_i, and interaction terms</w:t>
            </w:r>
          </w:p>
        </w:tc>
      </w:tr>
    </w:tbl>
    <w:p/>
    <w:p>
      <w:r>
        <w:rPr>
          <w:rFonts w:ascii="Arial" w:hAnsi="Arial"/>
          <w:b/>
          <w:color w:val="000000"/>
          <w:sz w:val="28"/>
        </w:rPr>
        <w:t>Recommended wording</w:t>
      </w:r>
    </w:p>
    <w:p>
      <w:r>
        <w:rPr>
          <w:rFonts w:ascii="Arial" w:hAnsi="Arial"/>
          <w:b w:val="0"/>
          <w:color w:val="000000"/>
          <w:sz w:val="22"/>
        </w:rPr>
        <w:t>Best construct label: food-cued incentive vigor. This avoids overclaiming a food-specific within-subject effect when there are no control MID trials.</w:t>
      </w:r>
    </w:p>
    <w:p>
      <w:r>
        <w:rPr>
          <w:rFonts w:ascii="Arial" w:hAnsi="Arial"/>
          <w:b w:val="0"/>
          <w:color w:val="000000"/>
          <w:sz w:val="22"/>
        </w:rPr>
        <w:t>Cleanest computational claim: People who show stronger implicit behavioral vigor during food-cued incentive probes show greater reward sensitivity during probabilistic learning.</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