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000000"/>
          <w:sz w:val="30"/>
          <w:szCs w:val="30"/>
        </w:rPr>
        <w:t xml:space="preserve">Bandit + mini-MID task v17.2: design decision record</w:t>
      </w:r>
    </w:p>
    <w:p>
      <w:pPr>
        <w:spacing w:after="120" w:line="264"/>
      </w:pPr>
      <w:r>
        <w:rPr>
          <w:rFonts w:ascii="Arial" w:cs="Arial" w:eastAsia="Arial" w:hAnsi="Arial"/>
          <w:color w:val="000000"/>
          <w:sz w:val="22"/>
          <w:szCs w:val="22"/>
        </w:rPr>
        <w:t xml:space="preserve">Scope: the recovery, precision, and power analyses that fixed the v17.2 design, the data behind each choice, and the headline results. This revision folds in three completed runs (a precision analysis for R and sigma_phi, a phi recovery check under the silent-accrual timing, and a gamma-route power recompute at v17.2 probe counts) and adds a section on what the study still delivers if the phi effect does not replicate. Values are pilot or simulation figures unless stated, and inputs tied to real data are flagged for re-verification on the first fixed-window, silent-accrual pilot. Two notations of rho are kept distinct: rho (reward sensitivity, fixed to 1) and rho_state (per-trial persistence of the motivational state).</w:t>
      </w:r>
    </w:p>
    <w:p>
      <w:pPr>
        <w:spacing w:after="100" w:before="220"/>
      </w:pPr>
      <w:r>
        <w:rPr>
          <w:rFonts w:ascii="Arial" w:cs="Arial" w:eastAsia="Arial" w:hAnsi="Arial"/>
          <w:b/>
          <w:bCs/>
          <w:color w:val="000000"/>
          <w:sz w:val="26"/>
          <w:szCs w:val="26"/>
        </w:rPr>
        <w:t xml:space="preserve">Key summary</w:t>
      </w:r>
    </w:p>
    <w:p>
      <w:pPr>
        <w:pStyle w:val="ListParagraph"/>
        <w:numPr>
          <w:ilvl w:val="0"/>
          <w:numId w:val="1"/>
        </w:numPr>
        <w:spacing w:after="90" w:line="264"/>
      </w:pPr>
      <w:r>
        <w:rPr>
          <w:rFonts w:ascii="Arial" w:cs="Arial" w:eastAsia="Arial" w:hAnsi="Arial"/>
          <w:b/>
          <w:bCs/>
          <w:color w:val="000000"/>
          <w:sz w:val="22"/>
          <w:szCs w:val="22"/>
        </w:rPr>
        <w:t xml:space="preserve">Primary outcome is trial-wise phi</w:t>
      </w:r>
      <w:r>
        <w:rPr>
          <w:rFonts w:ascii="Arial" w:cs="Arial" w:eastAsia="Arial" w:hAnsi="Arial"/>
          <w:color w:val="000000"/>
          <w:sz w:val="22"/>
          <w:szCs w:val="22"/>
        </w:rPr>
        <w:t xml:space="preserve">, the within-person coupling of food-probe vigor to alpha+. Recovery under the v17.2 silent-accrual timing is clean: null false-positive 0.054 and on-target phi essentially unbiased (bias -0.018), power 0.99 at N=100 in the homogeneous case.</w:t>
      </w:r>
    </w:p>
    <w:p>
      <w:pPr>
        <w:pStyle w:val="ListParagraph"/>
        <w:numPr>
          <w:ilvl w:val="0"/>
          <w:numId w:val="1"/>
        </w:numPr>
        <w:spacing w:after="90" w:line="264"/>
      </w:pPr>
      <w:r>
        <w:rPr>
          <w:rFonts w:ascii="Arial" w:cs="Arial" w:eastAsia="Arial" w:hAnsi="Arial"/>
          <w:b/>
          <w:bCs/>
          <w:color w:val="000000"/>
          <w:sz w:val="22"/>
          <w:szCs w:val="22"/>
        </w:rPr>
        <w:t xml:space="preserve">Parameter estimation stands on its own</w:t>
      </w:r>
      <w:r>
        <w:rPr>
          <w:rFonts w:ascii="Arial" w:cs="Arial" w:eastAsia="Arial" w:hAnsi="Arial"/>
          <w:color w:val="000000"/>
          <w:sz w:val="22"/>
          <w:szCs w:val="22"/>
        </w:rPr>
        <w:t xml:space="preserve">. Even if phi shows no state effect, the study still validly estimates alpha+, alpha-, and beta per subject and as group distributions, plus model-agnostic indices (win-stay, lose-shift, optimality). A null phi bounds one within-subject modulation claim; it does not invalidate those measures. See the dedicated section below.</w:t>
      </w:r>
    </w:p>
    <w:p>
      <w:pPr>
        <w:pStyle w:val="ListParagraph"/>
        <w:numPr>
          <w:ilvl w:val="0"/>
          <w:numId w:val="1"/>
        </w:numPr>
        <w:spacing w:after="90" w:line="264"/>
      </w:pPr>
      <w:r>
        <w:rPr>
          <w:rFonts w:ascii="Arial" w:cs="Arial" w:eastAsia="Arial" w:hAnsi="Arial"/>
          <w:b/>
          <w:bCs/>
          <w:color w:val="000000"/>
          <w:sz w:val="22"/>
          <w:szCs w:val="22"/>
        </w:rPr>
        <w:t xml:space="preserve">sigma_phi is recoverable and the regime is resolvable early</w:t>
      </w:r>
      <w:r>
        <w:rPr>
          <w:rFonts w:ascii="Arial" w:cs="Arial" w:eastAsia="Arial" w:hAnsi="Arial"/>
          <w:color w:val="000000"/>
          <w:sz w:val="22"/>
          <w:szCs w:val="22"/>
        </w:rPr>
        <w:t xml:space="preserve">. The precision run recovered sigma_phi unbiased at every N; at N=100 the 95% CI half-width is about 0.11, which cleanly separates the low regime (near 0.1, where N=100 works) from the high regime (near 0.4, where N runs into the hundreds). Pinning it to plus or minus 0.05 needs about N=250 to 300, which is a later refinement, not a gate.</w:t>
      </w:r>
    </w:p>
    <w:p>
      <w:pPr>
        <w:pStyle w:val="ListParagraph"/>
        <w:numPr>
          <w:ilvl w:val="0"/>
          <w:numId w:val="1"/>
        </w:numPr>
        <w:spacing w:after="90" w:line="264"/>
      </w:pPr>
      <w:r>
        <w:rPr>
          <w:rFonts w:ascii="Arial" w:cs="Arial" w:eastAsia="Arial" w:hAnsi="Arial"/>
          <w:b/>
          <w:bCs/>
          <w:color w:val="000000"/>
          <w:sz w:val="22"/>
          <w:szCs w:val="22"/>
        </w:rPr>
        <w:t xml:space="preserve">Bonus confound removed at the source</w:t>
      </w:r>
      <w:r>
        <w:rPr>
          <w:rFonts w:ascii="Arial" w:cs="Arial" w:eastAsia="Arial" w:hAnsi="Arial"/>
          <w:color w:val="000000"/>
          <w:sz w:val="22"/>
          <w:szCs w:val="22"/>
        </w:rPr>
        <w:t xml:space="preserve">. Bonus points accrue silently and are shown only at the end, so no reward event sits between a probe and the next bandit trial, and food and neutral stakes are equal. The argument is structural: the RT-to-bonus-to-alpha+ path is absent by construction.</w:t>
      </w:r>
    </w:p>
    <w:p>
      <w:pPr>
        <w:pStyle w:val="ListParagraph"/>
        <w:numPr>
          <w:ilvl w:val="0"/>
          <w:numId w:val="1"/>
        </w:numPr>
        <w:spacing w:after="90" w:line="264"/>
      </w:pPr>
      <w:r>
        <w:rPr>
          <w:rFonts w:ascii="Arial" w:cs="Arial" w:eastAsia="Arial" w:hAnsi="Arial"/>
          <w:b/>
          <w:bCs/>
          <w:color w:val="000000"/>
          <w:sz w:val="22"/>
          <w:szCs w:val="22"/>
        </w:rPr>
        <w:t xml:space="preserve">Group-level gamma route is secondary and marginal at N=100</w:t>
      </w:r>
      <w:r>
        <w:rPr>
          <w:rFonts w:ascii="Arial" w:cs="Arial" w:eastAsia="Arial" w:hAnsi="Arial"/>
          <w:color w:val="000000"/>
          <w:sz w:val="22"/>
          <w:szCs w:val="22"/>
        </w:rPr>
        <w:t xml:space="preserve">. Recomputed at v17.2 counts (R=0.4, stable run), the beta-target route is marginal at N=100 for gamma 0.20 (power 0.77) and adequate at N=150 (0.91); gamma 0.10 is underpowered at both, and gamma 0.35 is comfortable. Treat it as exploratory unless the effect is 0.20 or larger and N reaches 150.</w:t>
      </w:r>
    </w:p>
    <w:p>
      <w:pPr>
        <w:pStyle w:val="ListParagraph"/>
        <w:numPr>
          <w:ilvl w:val="0"/>
          <w:numId w:val="1"/>
        </w:numPr>
        <w:spacing w:after="90" w:line="264"/>
      </w:pPr>
      <w:r>
        <w:rPr>
          <w:rFonts w:ascii="Arial" w:cs="Arial" w:eastAsia="Arial" w:hAnsi="Arial"/>
          <w:b/>
          <w:bCs/>
          <w:color w:val="000000"/>
          <w:sz w:val="22"/>
          <w:szCs w:val="22"/>
        </w:rPr>
        <w:t xml:space="preserve">Reward sensitivity rho fixed to 1</w:t>
      </w:r>
      <w:r>
        <w:rPr>
          <w:rFonts w:ascii="Arial" w:cs="Arial" w:eastAsia="Arial" w:hAnsi="Arial"/>
          <w:color w:val="000000"/>
          <w:sz w:val="22"/>
          <w:szCs w:val="22"/>
        </w:rPr>
        <w:t xml:space="preserve">. A single reward magnitude leaves rho and beta jointly unidentified, so a reward-sensitivity effect surfaces in beta.</w:t>
      </w:r>
    </w:p>
    <w:p>
      <w:pPr>
        <w:pStyle w:val="ListParagraph"/>
        <w:numPr>
          <w:ilvl w:val="0"/>
          <w:numId w:val="1"/>
        </w:numPr>
        <w:spacing w:after="90" w:line="264"/>
      </w:pPr>
      <w:r>
        <w:rPr>
          <w:rFonts w:ascii="Arial" w:cs="Arial" w:eastAsia="Arial" w:hAnsi="Arial"/>
          <w:b/>
          <w:bCs/>
          <w:color w:val="000000"/>
          <w:sz w:val="22"/>
          <w:szCs w:val="22"/>
        </w:rPr>
        <w:t xml:space="preserve">Load-bearing pilot inputs</w:t>
      </w:r>
      <w:r>
        <w:rPr>
          <w:rFonts w:ascii="Arial" w:cs="Arial" w:eastAsia="Arial" w:hAnsi="Arial"/>
          <w:color w:val="000000"/>
          <w:sz w:val="22"/>
          <w:szCs w:val="22"/>
        </w:rPr>
        <w:t xml:space="preserve">: state half-life about 9 s (per-trial persistence rho_state about 0.76 at 3.5 s per trial), single-probe reliability lambda about 0.33, between-subject vigor reliability R about 0.4. All three are pilot-derived and flagged for re-verification.</w:t>
      </w:r>
    </w:p>
    <w:p>
      <w:pPr>
        <w:spacing w:after="100" w:before="220"/>
      </w:pPr>
      <w:r>
        <w:rPr>
          <w:rFonts w:ascii="Arial" w:cs="Arial" w:eastAsia="Arial" w:hAnsi="Arial"/>
          <w:b/>
          <w:bCs/>
          <w:color w:val="000000"/>
          <w:sz w:val="26"/>
          <w:szCs w:val="26"/>
        </w:rPr>
        <w:t xml:space="preserve">Results this round</w:t>
      </w:r>
    </w:p>
    <w:p>
      <w:pPr>
        <w:spacing w:after="100" w:before="220"/>
      </w:pPr>
      <w:r>
        <w:rPr>
          <w:rFonts w:ascii="Arial" w:cs="Arial" w:eastAsia="Arial" w:hAnsi="Arial"/>
          <w:b/>
          <w:bCs/>
          <w:color w:val="000000"/>
          <w:sz w:val="24"/>
          <w:szCs w:val="24"/>
        </w:rPr>
        <w:t xml:space="preserve">A. Precision of sigma_phi and R (precision_r_sigmaphi.py)</w:t>
      </w:r>
    </w:p>
    <w:p>
      <w:pPr>
        <w:spacing w:after="120" w:line="264"/>
      </w:pPr>
      <w:r>
        <w:rPr>
          <w:rFonts w:ascii="Arial" w:cs="Arial" w:eastAsia="Arial" w:hAnsi="Arial"/>
          <w:color w:val="000000"/>
          <w:sz w:val="22"/>
          <w:szCs w:val="22"/>
        </w:rPr>
        <w:t xml:space="preserve">The precision run simulates cohorts at a plausible truth, applies the pipeline estimators, and reads the sampling spread of the estimate across cohorts at each N. sigma_phi uses a method-of-moments variance decomposition; R uses repeated split-half plus Spearman-Brown, matching vigor_R.py.</w:t>
      </w:r>
    </w:p>
    <w:p>
      <w:pPr>
        <w:spacing w:after="120" w:line="264"/>
      </w:pPr>
      <w:r>
        <w:rPr>
          <w:rFonts w:ascii="Arial" w:cs="Arial" w:eastAsia="Arial" w:hAnsi="Arial"/>
          <w:b/>
          <w:bCs/>
          <w:color w:val="000000"/>
          <w:sz w:val="22"/>
          <w:szCs w:val="22"/>
        </w:rPr>
        <w:t xml:space="preserve">sigma_phi </w:t>
      </w:r>
      <w:r>
        <w:rPr>
          <w:rFonts w:ascii="Arial" w:cs="Arial" w:eastAsia="Arial" w:hAnsi="Arial"/>
          <w:color w:val="000000"/>
          <w:sz w:val="22"/>
          <w:szCs w:val="22"/>
        </w:rPr>
        <w:t xml:space="preserve">(true 0.15, the primary power driver):</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2400"/>
        <w:gridCol w:w="3800"/>
      </w:tblGrid>
      <w:tr>
        <w:trPr>
          <w:tblHeader/>
        </w:trPr>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bCs/>
                <w:color w:val="000000"/>
                <w:sz w:val="22"/>
                <w:szCs w:val="22"/>
              </w:rPr>
              <w:t xml:space="preserve">N</w:t>
            </w:r>
          </w:p>
        </w:tc>
        <w:tc>
          <w:tcPr>
            <w:tcW w:type="dxa" w:w="3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bCs/>
                <w:color w:val="000000"/>
                <w:sz w:val="22"/>
                <w:szCs w:val="22"/>
              </w:rPr>
              <w:t xml:space="preserve">mean estimate (true 0.15)</w:t>
            </w:r>
          </w:p>
        </w:tc>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bCs/>
                <w:color w:val="000000"/>
                <w:sz w:val="22"/>
                <w:szCs w:val="22"/>
              </w:rPr>
              <w:t xml:space="preserve">95% CI half-width</w:t>
            </w:r>
          </w:p>
        </w:tc>
        <w:tc>
          <w:tcPr>
            <w:tcW w:type="dxa" w:w="38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bCs/>
                <w:color w:val="000000"/>
                <w:sz w:val="22"/>
                <w:szCs w:val="22"/>
              </w:rPr>
              <w:t xml:space="preserve">Read</w:t>
            </w:r>
          </w:p>
        </w:tc>
      </w:tr>
      <w:tr>
        <w:trPr>
          <w:tblHeader w:val="false"/>
        </w:trPr>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val="false"/>
                <w:bCs w:val="false"/>
                <w:color w:val="000000"/>
                <w:sz w:val="22"/>
                <w:szCs w:val="22"/>
              </w:rPr>
              <w:t xml:space="preserve">50</w:t>
            </w:r>
          </w:p>
        </w:tc>
        <w:tc>
          <w:tcPr>
            <w:tcW w:type="dxa" w:w="3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val="false"/>
                <w:bCs w:val="false"/>
                <w:color w:val="000000"/>
                <w:sz w:val="22"/>
                <w:szCs w:val="22"/>
              </w:rPr>
              <w:t xml:space="preserve">0.154</w:t>
            </w:r>
          </w:p>
        </w:tc>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val="false"/>
                <w:bCs w:val="false"/>
                <w:color w:val="000000"/>
                <w:sz w:val="22"/>
                <w:szCs w:val="22"/>
              </w:rPr>
              <w:t xml:space="preserve">0.11</w:t>
            </w:r>
          </w:p>
        </w:tc>
        <w:tc>
          <w:tcPr>
            <w:tcW w:type="dxa" w:w="38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val="false"/>
                <w:bCs w:val="false"/>
                <w:color w:val="000000"/>
                <w:sz w:val="22"/>
                <w:szCs w:val="22"/>
              </w:rPr>
              <w:t xml:space="preserve">Regime already separable</w:t>
            </w:r>
          </w:p>
        </w:tc>
      </w:tr>
      <w:tr>
        <w:trPr>
          <w:tblHeader w:val="false"/>
        </w:trPr>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val="false"/>
                <w:bCs w:val="false"/>
                <w:color w:val="000000"/>
                <w:sz w:val="22"/>
                <w:szCs w:val="22"/>
              </w:rPr>
              <w:t xml:space="preserve">100</w:t>
            </w:r>
          </w:p>
        </w:tc>
        <w:tc>
          <w:tcPr>
            <w:tcW w:type="dxa" w:w="3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val="false"/>
                <w:bCs w:val="false"/>
                <w:color w:val="000000"/>
                <w:sz w:val="22"/>
                <w:szCs w:val="22"/>
              </w:rPr>
              <w:t xml:space="preserve">0.156</w:t>
            </w:r>
          </w:p>
        </w:tc>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val="false"/>
                <w:bCs w:val="false"/>
                <w:color w:val="000000"/>
                <w:sz w:val="22"/>
                <w:szCs w:val="22"/>
              </w:rPr>
              <w:t xml:space="preserve">0.107</w:t>
            </w:r>
          </w:p>
        </w:tc>
        <w:tc>
          <w:tcPr>
            <w:tcW w:type="dxa" w:w="38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val="false"/>
                <w:bCs w:val="false"/>
                <w:color w:val="000000"/>
                <w:sz w:val="22"/>
                <w:szCs w:val="22"/>
              </w:rPr>
              <w:t xml:space="preserve">Separates 0.1 from 0.4 cleanly</w:t>
            </w:r>
          </w:p>
        </w:tc>
      </w:tr>
      <w:tr>
        <w:trPr>
          <w:tblHeader w:val="false"/>
        </w:trPr>
        <w:tc>
          <w:tcPr>
            <w:tcW w:type="dxa" w:w="1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val="false"/>
                <w:bCs w:val="false"/>
                <w:color w:val="000000"/>
                <w:sz w:val="22"/>
                <w:szCs w:val="22"/>
              </w:rPr>
              <w:t xml:space="preserve">150</w:t>
            </w:r>
          </w:p>
        </w:tc>
        <w:tc>
          <w:tcPr>
            <w:tcW w:type="dxa" w:w="3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val="false"/>
                <w:bCs w:val="false"/>
                <w:color w:val="000000"/>
                <w:sz w:val="22"/>
                <w:szCs w:val="22"/>
              </w:rPr>
              <w:t xml:space="preserve">0.172</w:t>
            </w:r>
          </w:p>
        </w:tc>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val="false"/>
                <w:bCs w:val="false"/>
                <w:color w:val="000000"/>
                <w:sz w:val="22"/>
                <w:szCs w:val="22"/>
              </w:rPr>
              <w:t xml:space="preserve">0.065</w:t>
            </w:r>
          </w:p>
        </w:tc>
        <w:tc>
          <w:tcPr>
            <w:tcW w:type="dxa" w:w="38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val="false"/>
                <w:bCs w:val="false"/>
                <w:color w:val="000000"/>
                <w:sz w:val="22"/>
                <w:szCs w:val="22"/>
              </w:rPr>
              <w:t xml:space="preserve">Approaching a tight estimate</w:t>
            </w:r>
          </w:p>
        </w:tc>
      </w:tr>
    </w:tbl>
    <w:p>
      <w:pPr>
        <w:spacing w:after="120" w:line="264"/>
      </w:pPr>
      <w:r>
        <w:rPr>
          <w:rFonts w:ascii="Arial" w:cs="Arial" w:eastAsia="Arial" w:hAnsi="Arial"/>
          <w:color w:val="000000"/>
          <w:sz w:val="22"/>
          <w:szCs w:val="22"/>
        </w:rPr>
        <w:t xml:space="preserve">Unbiased at every N. The plus-or-minus 0.05 target needs roughly N=250 to 300, but that precision is stricter than the decision requires. The pilot question is which power regime you are in, and N=50 to 100 answers it.</w:t>
      </w:r>
      <w:r>
        <w:rPr>
          <w:rFonts w:ascii="Arial" w:cs="Arial" w:eastAsia="Arial" w:hAnsi="Arial"/>
          <w:i/>
          <w:iCs/>
          <w:color w:val="000000"/>
          <w:sz w:val="22"/>
          <w:szCs w:val="22"/>
        </w:rPr>
        <w:t xml:space="preserve"> (run at an assumed true sigma_phi of 0.15; the precision you get depends on the real value. The estimator floors at 0, so a genuinely small sigma_phi can occasionally read as zero, which affects distinguishing small from zero, not small from large.)</w:t>
      </w:r>
    </w:p>
    <w:p>
      <w:pPr>
        <w:spacing w:after="120" w:line="264"/>
      </w:pPr>
      <w:r>
        <w:rPr>
          <w:rFonts w:ascii="Arial" w:cs="Arial" w:eastAsia="Arial" w:hAnsi="Arial"/>
          <w:b/>
          <w:bCs/>
          <w:color w:val="000000"/>
          <w:sz w:val="22"/>
          <w:szCs w:val="22"/>
        </w:rPr>
        <w:t xml:space="preserve">R </w:t>
      </w:r>
      <w:r>
        <w:rPr>
          <w:rFonts w:ascii="Arial" w:cs="Arial" w:eastAsia="Arial" w:hAnsi="Arial"/>
          <w:color w:val="000000"/>
          <w:sz w:val="22"/>
          <w:szCs w:val="22"/>
        </w:rPr>
        <w:t xml:space="preserve">(feeds only the secondary gamma route; repeated split-half estimator):</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600"/>
        <w:gridCol w:w="3800"/>
      </w:tblGrid>
      <w:tr>
        <w:trPr>
          <w:tblHeader/>
        </w:trPr>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bCs/>
                <w:color w:val="000000"/>
                <w:sz w:val="22"/>
                <w:szCs w:val="22"/>
              </w:rPr>
              <w:t xml:space="preserve">true R</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bCs/>
                <w:color w:val="000000"/>
                <w:sz w:val="22"/>
                <w:szCs w:val="22"/>
              </w:rPr>
              <w:t xml:space="preserve">95% CI half-width N=100</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bCs/>
                <w:color w:val="000000"/>
                <w:sz w:val="22"/>
                <w:szCs w:val="22"/>
              </w:rPr>
              <w:t xml:space="preserve">95% CI half-width N=150</w:t>
            </w:r>
          </w:p>
        </w:tc>
        <w:tc>
          <w:tcPr>
            <w:tcW w:type="dxa" w:w="38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bCs/>
                <w:color w:val="000000"/>
                <w:sz w:val="22"/>
                <w:szCs w:val="22"/>
              </w:rPr>
              <w:t xml:space="preserve">Note</w:t>
            </w:r>
          </w:p>
        </w:tc>
      </w:tr>
      <w:tr>
        <w:trPr>
          <w:tblHeader w:val="false"/>
        </w:trPr>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val="false"/>
                <w:bCs w:val="false"/>
                <w:color w:val="000000"/>
                <w:sz w:val="22"/>
                <w:szCs w:val="22"/>
              </w:rPr>
              <w:t xml:space="preserve">0.3</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val="false"/>
                <w:bCs w:val="false"/>
                <w:color w:val="000000"/>
                <w:sz w:val="22"/>
                <w:szCs w:val="22"/>
              </w:rPr>
              <w:t xml:space="preserve">0.21</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val="false"/>
                <w:bCs w:val="false"/>
                <w:color w:val="000000"/>
                <w:sz w:val="22"/>
                <w:szCs w:val="22"/>
              </w:rPr>
              <w:t xml:space="preserve">0.16</w:t>
            </w:r>
          </w:p>
        </w:tc>
        <w:tc>
          <w:tcPr>
            <w:tcW w:type="dxa" w:w="38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val="false"/>
                <w:bCs w:val="false"/>
                <w:color w:val="000000"/>
                <w:sz w:val="22"/>
                <w:szCs w:val="22"/>
              </w:rPr>
              <w:t xml:space="preserve">plus/minus 0.10 extrapolates to ~N=390</w:t>
            </w:r>
          </w:p>
        </w:tc>
      </w:tr>
      <w:tr>
        <w:trPr>
          <w:tblHeader w:val="false"/>
        </w:trPr>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val="false"/>
                <w:bCs w:val="false"/>
                <w:color w:val="000000"/>
                <w:sz w:val="22"/>
                <w:szCs w:val="22"/>
              </w:rPr>
              <w:t xml:space="preserve">0.4</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val="false"/>
                <w:bCs w:val="false"/>
                <w:color w:val="000000"/>
                <w:sz w:val="22"/>
                <w:szCs w:val="22"/>
              </w:rPr>
              <w:t xml:space="preserve">0.17</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val="false"/>
                <w:bCs w:val="false"/>
                <w:color w:val="000000"/>
                <w:sz w:val="22"/>
                <w:szCs w:val="22"/>
              </w:rPr>
              <w:t xml:space="preserve">0.16</w:t>
            </w:r>
          </w:p>
        </w:tc>
        <w:tc>
          <w:tcPr>
            <w:tcW w:type="dxa" w:w="38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val="false"/>
                <w:bCs w:val="false"/>
                <w:color w:val="000000"/>
                <w:sz w:val="22"/>
                <w:szCs w:val="22"/>
              </w:rPr>
              <w:t xml:space="preserve">plus/minus 0.10 extrapolates to ~N=350</w:t>
            </w:r>
          </w:p>
        </w:tc>
      </w:tr>
      <w:tr>
        <w:trPr>
          <w:tblHeader w:val="false"/>
        </w:trPr>
        <w:tc>
          <w:tcPr>
            <w:tcW w:type="dxa" w:w="18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val="false"/>
                <w:bCs w:val="false"/>
                <w:color w:val="000000"/>
                <w:sz w:val="22"/>
                <w:szCs w:val="22"/>
              </w:rPr>
              <w:t xml:space="preserve">0.5</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val="false"/>
                <w:bCs w:val="false"/>
                <w:color w:val="000000"/>
                <w:sz w:val="22"/>
                <w:szCs w:val="22"/>
              </w:rPr>
              <w:t xml:space="preserve">0.14</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val="false"/>
                <w:bCs w:val="false"/>
                <w:color w:val="000000"/>
                <w:sz w:val="22"/>
                <w:szCs w:val="22"/>
              </w:rPr>
              <w:t xml:space="preserve">0.10</w:t>
            </w:r>
          </w:p>
        </w:tc>
        <w:tc>
          <w:tcPr>
            <w:tcW w:type="dxa" w:w="38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val="false"/>
                <w:bCs w:val="false"/>
                <w:color w:val="000000"/>
                <w:sz w:val="22"/>
                <w:szCs w:val="22"/>
              </w:rPr>
              <w:t xml:space="preserve">meets plus/minus 0.10 near N=150</w:t>
            </w:r>
          </w:p>
        </w:tc>
      </w:tr>
    </w:tbl>
    <w:p>
      <w:pPr>
        <w:spacing w:after="120" w:line="264"/>
      </w:pPr>
      <w:r>
        <w:rPr>
          <w:rFonts w:ascii="Arial" w:cs="Arial" w:eastAsia="Arial" w:hAnsi="Arial"/>
          <w:color w:val="000000"/>
          <w:sz w:val="22"/>
          <w:szCs w:val="22"/>
        </w:rPr>
        <w:t xml:space="preserve">R is unbiased. A plus-or-minus 0.10 CI on R is demanding, but a plus-or-minus 0.10 uncertainty in R propagates to only about a 12% change in the required gamma (required gamma scales as 1 over sqrt(R)), so that precision is stricter than any decision made with it. A point estimate at N=50 to 100 (R to about plus-or-minus 0.17 to 0.20) is enough to set the gamma-route expectation. Do not size the pilot around R precision.</w:t>
      </w:r>
    </w:p>
    <w:p>
      <w:pPr>
        <w:spacing w:after="100" w:before="220"/>
      </w:pPr>
      <w:r>
        <w:rPr>
          <w:rFonts w:ascii="Arial" w:cs="Arial" w:eastAsia="Arial" w:hAnsi="Arial"/>
          <w:b/>
          <w:bCs/>
          <w:color w:val="000000"/>
          <w:sz w:val="24"/>
          <w:szCs w:val="24"/>
        </w:rPr>
        <w:t xml:space="preserve">B. Phi recovery under silent accrual (phi_recovery_silent_accrual.py)</w:t>
      </w:r>
    </w:p>
    <w:p>
      <w:pPr>
        <w:spacing w:after="120" w:line="264"/>
      </w:pPr>
      <w:r>
        <w:rPr>
          <w:rFonts w:ascii="Arial" w:cs="Arial" w:eastAsia="Arial" w:hAnsi="Arial"/>
          <w:color w:val="000000"/>
          <w:sz w:val="22"/>
          <w:szCs w:val="22"/>
        </w:rPr>
        <w:t xml:space="preserve">Three data-generating conditions compared at N_subjects 400, true phi 0.15, bonus_leak 0.15: silent (v17.2, bonus never enters the update), shown (bonus perturbs the adjacent bandit update), and shown_trace (shown plus a decaying bonus-trace nuisance regressor in the fit). Detection at N=100 is by bootstrap.</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900"/>
        <w:gridCol w:w="1500"/>
        <w:gridCol w:w="1500"/>
        <w:gridCol w:w="2500"/>
      </w:tblGrid>
      <w:tr>
        <w:trPr>
          <w:tblHeader/>
        </w:trPr>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bCs/>
                <w:color w:val="000000"/>
                <w:sz w:val="22"/>
                <w:szCs w:val="22"/>
              </w:rPr>
              <w:t xml:space="preserve">condition</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bCs/>
                <w:color w:val="000000"/>
                <w:sz w:val="22"/>
                <w:szCs w:val="22"/>
              </w:rPr>
              <w:t xml:space="preserve">scenario</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bCs/>
                <w:color w:val="000000"/>
                <w:sz w:val="22"/>
                <w:szCs w:val="22"/>
              </w:rPr>
              <w:t xml:space="preserve">mean phi_hat</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bCs/>
                <w:color w:val="000000"/>
                <w:sz w:val="22"/>
                <w:szCs w:val="22"/>
              </w:rPr>
              <w:t xml:space="preserve">bias</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bCs/>
                <w:color w:val="000000"/>
                <w:sz w:val="22"/>
                <w:szCs w:val="22"/>
              </w:rPr>
              <w:t xml:space="preserve">sd phi_hat</w:t>
            </w:r>
          </w:p>
        </w:tc>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bCs/>
                <w:color w:val="000000"/>
                <w:sz w:val="22"/>
                <w:szCs w:val="22"/>
              </w:rPr>
              <w:t xml:space="preserve">detect/FPR</w:t>
            </w:r>
          </w:p>
        </w:tc>
      </w:tr>
      <w:tr>
        <w:trPr>
          <w:tblHeader w:val="false"/>
        </w:trPr>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val="false"/>
                <w:bCs w:val="false"/>
                <w:color w:val="000000"/>
                <w:sz w:val="22"/>
                <w:szCs w:val="22"/>
              </w:rPr>
              <w:t xml:space="preserve">silent</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val="false"/>
                <w:bCs w:val="false"/>
                <w:color w:val="000000"/>
                <w:sz w:val="22"/>
                <w:szCs w:val="22"/>
              </w:rPr>
              <w:t xml:space="preserve">alpha_pos</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val="false"/>
                <w:bCs w:val="false"/>
                <w:color w:val="000000"/>
                <w:sz w:val="22"/>
                <w:szCs w:val="22"/>
              </w:rPr>
              <w:t xml:space="preserve">0.132</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val="false"/>
                <w:bCs w:val="false"/>
                <w:color w:val="000000"/>
                <w:sz w:val="22"/>
                <w:szCs w:val="22"/>
              </w:rPr>
              <w:t xml:space="preserve">-0.018</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val="false"/>
                <w:bCs w:val="false"/>
                <w:color w:val="000000"/>
                <w:sz w:val="22"/>
                <w:szCs w:val="22"/>
              </w:rPr>
              <w:t xml:space="preserve">0.336</w:t>
            </w:r>
          </w:p>
        </w:tc>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val="false"/>
                <w:bCs w:val="false"/>
                <w:color w:val="000000"/>
                <w:sz w:val="22"/>
                <w:szCs w:val="22"/>
              </w:rPr>
              <w:t xml:space="preserve">0.990</w:t>
            </w:r>
          </w:p>
        </w:tc>
      </w:tr>
      <w:tr>
        <w:trPr>
          <w:tblHeader w:val="false"/>
        </w:trPr>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val="false"/>
                <w:bCs w:val="false"/>
                <w:color w:val="000000"/>
                <w:sz w:val="22"/>
                <w:szCs w:val="22"/>
              </w:rPr>
              <w:t xml:space="preserve">silent</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val="false"/>
                <w:bCs w:val="false"/>
                <w:color w:val="000000"/>
                <w:sz w:val="22"/>
                <w:szCs w:val="22"/>
              </w:rPr>
              <w:t xml:space="preserve">null</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val="false"/>
                <w:bCs w:val="false"/>
                <w:color w:val="000000"/>
                <w:sz w:val="22"/>
                <w:szCs w:val="22"/>
              </w:rPr>
              <w:t xml:space="preserve">0.012</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val="false"/>
                <w:bCs w:val="false"/>
                <w:color w:val="000000"/>
                <w:sz w:val="22"/>
                <w:szCs w:val="22"/>
              </w:rPr>
              <w:t xml:space="preserve">0.012</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val="false"/>
                <w:bCs w:val="false"/>
                <w:color w:val="000000"/>
                <w:sz w:val="22"/>
                <w:szCs w:val="22"/>
              </w:rPr>
              <w:t xml:space="preserve">0.289</w:t>
            </w:r>
          </w:p>
        </w:tc>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val="false"/>
                <w:bCs w:val="false"/>
                <w:color w:val="000000"/>
                <w:sz w:val="22"/>
                <w:szCs w:val="22"/>
              </w:rPr>
              <w:t xml:space="preserve">0.054</w:t>
            </w:r>
          </w:p>
        </w:tc>
      </w:tr>
      <w:tr>
        <w:trPr>
          <w:tblHeader w:val="false"/>
        </w:trPr>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val="false"/>
                <w:bCs w:val="false"/>
                <w:color w:val="000000"/>
                <w:sz w:val="22"/>
                <w:szCs w:val="22"/>
              </w:rPr>
              <w:t xml:space="preserve">shown</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val="false"/>
                <w:bCs w:val="false"/>
                <w:color w:val="000000"/>
                <w:sz w:val="22"/>
                <w:szCs w:val="22"/>
              </w:rPr>
              <w:t xml:space="preserve">alpha_pos</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val="false"/>
                <w:bCs w:val="false"/>
                <w:color w:val="000000"/>
                <w:sz w:val="22"/>
                <w:szCs w:val="22"/>
              </w:rPr>
              <w:t xml:space="preserve">0.145</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val="false"/>
                <w:bCs w:val="false"/>
                <w:color w:val="000000"/>
                <w:sz w:val="22"/>
                <w:szCs w:val="22"/>
              </w:rPr>
              <w:t xml:space="preserve">-0.005</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val="false"/>
                <w:bCs w:val="false"/>
                <w:color w:val="000000"/>
                <w:sz w:val="22"/>
                <w:szCs w:val="22"/>
              </w:rPr>
              <w:t xml:space="preserve">0.344</w:t>
            </w:r>
          </w:p>
        </w:tc>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val="false"/>
                <w:bCs w:val="false"/>
                <w:color w:val="000000"/>
                <w:sz w:val="22"/>
                <w:szCs w:val="22"/>
              </w:rPr>
              <w:t xml:space="preserve">0.998</w:t>
            </w:r>
          </w:p>
        </w:tc>
      </w:tr>
      <w:tr>
        <w:trPr>
          <w:tblHeader w:val="false"/>
        </w:trPr>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val="false"/>
                <w:bCs w:val="false"/>
                <w:color w:val="000000"/>
                <w:sz w:val="22"/>
                <w:szCs w:val="22"/>
              </w:rPr>
              <w:t xml:space="preserve">shown</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val="false"/>
                <w:bCs w:val="false"/>
                <w:color w:val="000000"/>
                <w:sz w:val="22"/>
                <w:szCs w:val="22"/>
              </w:rPr>
              <w:t xml:space="preserve">null</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val="false"/>
                <w:bCs w:val="false"/>
                <w:color w:val="000000"/>
                <w:sz w:val="22"/>
                <w:szCs w:val="22"/>
              </w:rPr>
              <w:t xml:space="preserve">0.002</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val="false"/>
                <w:bCs w:val="false"/>
                <w:color w:val="000000"/>
                <w:sz w:val="22"/>
                <w:szCs w:val="22"/>
              </w:rPr>
              <w:t xml:space="preserve">0.002</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val="false"/>
                <w:bCs w:val="false"/>
                <w:color w:val="000000"/>
                <w:sz w:val="22"/>
                <w:szCs w:val="22"/>
              </w:rPr>
              <w:t xml:space="preserve">0.300</w:t>
            </w:r>
          </w:p>
        </w:tc>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val="false"/>
                <w:bCs w:val="false"/>
                <w:color w:val="000000"/>
                <w:sz w:val="22"/>
                <w:szCs w:val="22"/>
              </w:rPr>
              <w:t xml:space="preserve">0.044</w:t>
            </w:r>
          </w:p>
        </w:tc>
      </w:tr>
      <w:tr>
        <w:trPr>
          <w:tblHeader w:val="false"/>
        </w:trPr>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val="false"/>
                <w:bCs w:val="false"/>
                <w:color w:val="000000"/>
                <w:sz w:val="22"/>
                <w:szCs w:val="22"/>
              </w:rPr>
              <w:t xml:space="preserve">shown_trace</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val="false"/>
                <w:bCs w:val="false"/>
                <w:color w:val="000000"/>
                <w:sz w:val="22"/>
                <w:szCs w:val="22"/>
              </w:rPr>
              <w:t xml:space="preserve">alpha_pos</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val="false"/>
                <w:bCs w:val="false"/>
                <w:color w:val="000000"/>
                <w:sz w:val="22"/>
                <w:szCs w:val="22"/>
              </w:rPr>
              <w:t xml:space="preserve">0.146</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val="false"/>
                <w:bCs w:val="false"/>
                <w:color w:val="000000"/>
                <w:sz w:val="22"/>
                <w:szCs w:val="22"/>
              </w:rPr>
              <w:t xml:space="preserve">-0.004</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val="false"/>
                <w:bCs w:val="false"/>
                <w:color w:val="000000"/>
                <w:sz w:val="22"/>
                <w:szCs w:val="22"/>
              </w:rPr>
              <w:t xml:space="preserve">0.392</w:t>
            </w:r>
          </w:p>
        </w:tc>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val="false"/>
                <w:bCs w:val="false"/>
                <w:color w:val="000000"/>
                <w:sz w:val="22"/>
                <w:szCs w:val="22"/>
              </w:rPr>
              <w:t xml:space="preserve">0.978</w:t>
            </w:r>
          </w:p>
        </w:tc>
      </w:tr>
      <w:tr>
        <w:trPr>
          <w:tblHeader w:val="false"/>
        </w:trPr>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val="false"/>
                <w:bCs w:val="false"/>
                <w:color w:val="000000"/>
                <w:sz w:val="22"/>
                <w:szCs w:val="22"/>
              </w:rPr>
              <w:t xml:space="preserve">shown_trace</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val="false"/>
                <w:bCs w:val="false"/>
                <w:color w:val="000000"/>
                <w:sz w:val="22"/>
                <w:szCs w:val="22"/>
              </w:rPr>
              <w:t xml:space="preserve">null</w:t>
            </w:r>
          </w:p>
        </w:tc>
        <w:tc>
          <w:tcPr>
            <w:tcW w:type="dxa" w:w="19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val="false"/>
                <w:bCs w:val="false"/>
                <w:color w:val="000000"/>
                <w:sz w:val="22"/>
                <w:szCs w:val="22"/>
              </w:rPr>
              <w:t xml:space="preserve">0.009</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val="false"/>
                <w:bCs w:val="false"/>
                <w:color w:val="000000"/>
                <w:sz w:val="22"/>
                <w:szCs w:val="22"/>
              </w:rPr>
              <w:t xml:space="preserve">0.009</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val="false"/>
                <w:bCs w:val="false"/>
                <w:color w:val="000000"/>
                <w:sz w:val="22"/>
                <w:szCs w:val="22"/>
              </w:rPr>
              <w:t xml:space="preserve">0.290</w:t>
            </w:r>
          </w:p>
        </w:tc>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val="false"/>
                <w:bCs w:val="false"/>
                <w:color w:val="000000"/>
                <w:sz w:val="22"/>
                <w:szCs w:val="22"/>
              </w:rPr>
              <w:t xml:space="preserve">0.052</w:t>
            </w:r>
          </w:p>
        </w:tc>
      </w:tr>
    </w:tbl>
    <w:p>
      <w:pPr>
        <w:spacing w:after="120" w:line="264"/>
      </w:pPr>
      <w:r>
        <w:rPr>
          <w:rFonts w:ascii="Arial" w:cs="Arial" w:eastAsia="Arial" w:hAnsi="Arial"/>
          <w:b/>
          <w:bCs/>
          <w:color w:val="000000"/>
          <w:sz w:val="22"/>
          <w:szCs w:val="22"/>
        </w:rPr>
        <w:t xml:space="preserve">Confirmed. </w:t>
      </w:r>
      <w:r>
        <w:rPr>
          <w:rFonts w:ascii="Arial" w:cs="Arial" w:eastAsia="Arial" w:hAnsi="Arial"/>
          <w:color w:val="000000"/>
          <w:sz w:val="22"/>
          <w:szCs w:val="22"/>
        </w:rPr>
        <w:t xml:space="preserve">Silent accrual is clean: null false-positive 0.054, on-target phi unbiased, power 0.99. The v17.2 timing introduces no phi bias.</w:t>
      </w:r>
    </w:p>
    <w:p>
      <w:pPr>
        <w:spacing w:after="120" w:line="264"/>
      </w:pPr>
      <w:r>
        <w:rPr>
          <w:rFonts w:ascii="Arial" w:cs="Arial" w:eastAsia="Arial" w:hAnsi="Arial"/>
          <w:b/>
          <w:bCs/>
          <w:color w:val="000000"/>
          <w:sz w:val="22"/>
          <w:szCs w:val="22"/>
        </w:rPr>
        <w:t xml:space="preserve">Asterisk. </w:t>
      </w:r>
      <w:r>
        <w:rPr>
          <w:rFonts w:ascii="Arial" w:cs="Arial" w:eastAsia="Arial" w:hAnsi="Arial"/>
          <w:color w:val="000000"/>
          <w:sz w:val="22"/>
          <w:szCs w:val="22"/>
        </w:rPr>
        <w:t xml:space="preserve">The shown condition also came out clean (null 0.044), so this run does not demonstrate the confound magnitude it was built to size. The injection enters as a flat value bump on the adjacent trial, which does not project onto the learning-rate modulation phi captures. The real case for silent accrual is structural, not empirical: with no reward event between probe and next trial, the nuisance path is absent by construction, and that guarantee needs no simulation.</w:t>
      </w:r>
      <w:r>
        <w:rPr>
          <w:rFonts w:ascii="Arial" w:cs="Arial" w:eastAsia="Arial" w:hAnsi="Arial"/>
          <w:i/>
          <w:iCs/>
          <w:color w:val="000000"/>
          <w:sz w:val="22"/>
          <w:szCs w:val="22"/>
        </w:rPr>
        <w:t xml:space="preserve"> (to show the confound explicitly for a reviewer, the injection would need to enter through the adjacent-trial learning rate or a state-correlated prediction error. That is rhetorical rather than load-bearing.)</w:t>
      </w:r>
    </w:p>
    <w:p>
      <w:pPr>
        <w:spacing w:after="120" w:line="264"/>
      </w:pPr>
      <w:r>
        <w:rPr>
          <w:rFonts w:ascii="Arial" w:cs="Arial" w:eastAsia="Arial" w:hAnsi="Arial"/>
          <w:b/>
          <w:bCs/>
          <w:color w:val="000000"/>
          <w:sz w:val="22"/>
          <w:szCs w:val="22"/>
        </w:rPr>
        <w:t xml:space="preserve">Incidental. </w:t>
      </w:r>
      <w:r>
        <w:rPr>
          <w:rFonts w:ascii="Arial" w:cs="Arial" w:eastAsia="Arial" w:hAnsi="Arial"/>
          <w:color w:val="000000"/>
          <w:sz w:val="22"/>
          <w:szCs w:val="22"/>
        </w:rPr>
        <w:t xml:space="preserve">The trace fallback stays calibrated (null 0.052) but inflates the phi SE by about 17% (sd 0.392 versus 0.336 for silent). Modeling the bonus costs precision that source removal keeps, a further point for the v17.2 choice.</w:t>
      </w:r>
    </w:p>
    <w:p>
      <w:pPr>
        <w:spacing w:after="100" w:before="220"/>
      </w:pPr>
      <w:r>
        <w:rPr>
          <w:rFonts w:ascii="Arial" w:cs="Arial" w:eastAsia="Arial" w:hAnsi="Arial"/>
          <w:b/>
          <w:bCs/>
          <w:color w:val="000000"/>
          <w:sz w:val="24"/>
          <w:szCs w:val="24"/>
        </w:rPr>
        <w:t xml:space="preserve">C. Gamma-route power at v17.2 counts (gamma_power_v17_2.py)</w:t>
      </w:r>
    </w:p>
    <w:p>
      <w:pPr>
        <w:spacing w:after="120" w:line="264"/>
      </w:pPr>
      <w:r>
        <w:rPr>
          <w:rFonts w:ascii="Arial" w:cs="Arial" w:eastAsia="Arial" w:hAnsi="Arial"/>
          <w:color w:val="000000"/>
          <w:sz w:val="22"/>
          <w:szCs w:val="22"/>
        </w:rPr>
        <w:t xml:space="preserve">Hierarchical EM with rho fixed to 1, food and neutral probe counts set to v17.2 (48 and 22), residual food vigor as a group regressor on the target parameter (here beta). This is the stable planning run: R fixed at 0.4, 200 datasets per cell, grid 11, sweeping true gamma and N. Power and null false-positive by dataset:</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600"/>
        <w:gridCol w:w="3400"/>
      </w:tblGrid>
      <w:tr>
        <w:trPr>
          <w:tblHeader/>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bCs/>
                <w:color w:val="000000"/>
                <w:sz w:val="22"/>
                <w:szCs w:val="22"/>
              </w:rPr>
              <w:t xml:space="preserve">true gamma</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bCs/>
                <w:color w:val="000000"/>
                <w:sz w:val="22"/>
                <w:szCs w:val="22"/>
              </w:rPr>
              <w:t xml:space="preserve">power N=100</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bCs/>
                <w:color w:val="000000"/>
                <w:sz w:val="22"/>
                <w:szCs w:val="22"/>
              </w:rPr>
              <w:t xml:space="preserve">power N=150</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bCs/>
                <w:color w:val="000000"/>
                <w:sz w:val="22"/>
                <w:szCs w:val="22"/>
              </w:rPr>
              <w:t xml:space="preserve">null FPR (N=100 / 150)</w:t>
            </w:r>
          </w:p>
        </w:tc>
      </w:tr>
      <w:tr>
        <w:trPr>
          <w:tblHeader w:val="false"/>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val="false"/>
                <w:bCs w:val="false"/>
                <w:color w:val="000000"/>
                <w:sz w:val="22"/>
                <w:szCs w:val="22"/>
              </w:rPr>
              <w:t xml:space="preserve">0.10</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val="false"/>
                <w:bCs w:val="false"/>
                <w:color w:val="000000"/>
                <w:sz w:val="22"/>
                <w:szCs w:val="22"/>
              </w:rPr>
              <w:t xml:space="preserve">0.28</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val="false"/>
                <w:bCs w:val="false"/>
                <w:color w:val="000000"/>
                <w:sz w:val="22"/>
                <w:szCs w:val="22"/>
              </w:rPr>
              <w:t xml:space="preserve">0.34</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val="false"/>
                <w:bCs w:val="false"/>
                <w:color w:val="000000"/>
                <w:sz w:val="22"/>
                <w:szCs w:val="22"/>
              </w:rPr>
              <w:t xml:space="preserve">0.075 / 0.055</w:t>
            </w:r>
          </w:p>
        </w:tc>
      </w:tr>
      <w:tr>
        <w:trPr>
          <w:tblHeader w:val="false"/>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val="false"/>
                <w:bCs w:val="false"/>
                <w:color w:val="000000"/>
                <w:sz w:val="22"/>
                <w:szCs w:val="22"/>
              </w:rPr>
              <w:t xml:space="preserve">0.20</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val="false"/>
                <w:bCs w:val="false"/>
                <w:color w:val="000000"/>
                <w:sz w:val="22"/>
                <w:szCs w:val="22"/>
              </w:rPr>
              <w:t xml:space="preserve">0.77</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val="false"/>
                <w:bCs w:val="false"/>
                <w:color w:val="000000"/>
                <w:sz w:val="22"/>
                <w:szCs w:val="22"/>
              </w:rPr>
              <w:t xml:space="preserve">0.91</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val="false"/>
                <w:bCs w:val="false"/>
                <w:color w:val="000000"/>
                <w:sz w:val="22"/>
                <w:szCs w:val="22"/>
              </w:rPr>
              <w:t xml:space="preserve">0.075 / 0.070</w:t>
            </w:r>
          </w:p>
        </w:tc>
      </w:tr>
      <w:tr>
        <w:trPr>
          <w:tblHeader w:val="false"/>
        </w:trPr>
        <w:tc>
          <w:tcPr>
            <w:tcW w:type="dxa" w:w="2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val="false"/>
                <w:bCs w:val="false"/>
                <w:color w:val="000000"/>
                <w:sz w:val="22"/>
                <w:szCs w:val="22"/>
              </w:rPr>
              <w:t xml:space="preserve">0.35</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val="false"/>
                <w:bCs w:val="false"/>
                <w:color w:val="000000"/>
                <w:sz w:val="22"/>
                <w:szCs w:val="22"/>
              </w:rPr>
              <w:t xml:space="preserve">0.99</w:t>
            </w:r>
          </w:p>
        </w:tc>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val="false"/>
                <w:bCs w:val="false"/>
                <w:color w:val="000000"/>
                <w:sz w:val="22"/>
                <w:szCs w:val="22"/>
              </w:rPr>
              <w:t xml:space="preserve">1.00</w:t>
            </w:r>
          </w:p>
        </w:tc>
        <w:tc>
          <w:tcPr>
            <w:tcW w:type="dxa" w:w="3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val="false"/>
                <w:bCs w:val="false"/>
                <w:color w:val="000000"/>
                <w:sz w:val="22"/>
                <w:szCs w:val="22"/>
              </w:rPr>
              <w:t xml:space="preserve">0.080 / 0.040</w:t>
            </w:r>
          </w:p>
        </w:tc>
      </w:tr>
    </w:tbl>
    <w:p>
      <w:pPr>
        <w:spacing w:after="120" w:line="264"/>
      </w:pPr>
      <w:r>
        <w:rPr>
          <w:rFonts w:ascii="Arial" w:cs="Arial" w:eastAsia="Arial" w:hAnsi="Arial"/>
          <w:color w:val="000000"/>
          <w:sz w:val="22"/>
          <w:szCs w:val="22"/>
        </w:rPr>
        <w:t xml:space="preserve">The go/no-go hinges on the true effect size. gamma 0.10 is out of reach at both N, so a null there would be uninformative. gamma 0.20 is the decision point: 0.77 at N=100 (just under the 0.80 line) and 0.91 at N=150, so it is worth pre-registering as a secondary confirmatory test only with a commitment to reach N=150. gamma 0.35 is comfortable everywhere, but that is the optimistic tail for an attenuated brain-behavior correlation. Phi stays primary and carries the powering; the gamma route is defensible as secondary if the prior on the effect is 0.20 or larger.</w:t>
      </w:r>
      <w:r>
        <w:rPr>
          <w:rFonts w:ascii="Arial" w:cs="Arial" w:eastAsia="Arial" w:hAnsi="Arial"/>
          <w:i/>
          <w:iCs/>
          <w:color w:val="000000"/>
          <w:sz w:val="22"/>
          <w:szCs w:val="22"/>
        </w:rPr>
        <w:t xml:space="preserve"> (this run fixes R at 0.4; the R bracket at 0.3 and 0.5 is still to run. null_fpr sits in the 0.04 to 0.08 band, slightly above 0.05, consistent with keeping permutation inference for the gamma coefficients rather than the Wald null. The reversals are the placeholder [69, 130] rather than the task's per-run [54, 46].)</w:t>
      </w:r>
    </w:p>
    <w:p>
      <w:pPr>
        <w:spacing w:after="100" w:before="220"/>
      </w:pPr>
      <w:r>
        <w:rPr>
          <w:rFonts w:ascii="Arial" w:cs="Arial" w:eastAsia="Arial" w:hAnsi="Arial"/>
          <w:b/>
          <w:bCs/>
          <w:color w:val="000000"/>
          <w:sz w:val="26"/>
          <w:szCs w:val="26"/>
        </w:rPr>
        <w:t xml:space="preserve">What the study delivers if phi does not replicate</w:t>
      </w:r>
    </w:p>
    <w:p>
      <w:pPr>
        <w:spacing w:after="120" w:line="264"/>
      </w:pPr>
      <w:r>
        <w:rPr>
          <w:rFonts w:ascii="Arial" w:cs="Arial" w:eastAsia="Arial" w:hAnsi="Arial"/>
          <w:color w:val="000000"/>
          <w:sz w:val="22"/>
          <w:szCs w:val="22"/>
        </w:rPr>
        <w:t xml:space="preserve">A null or weak phi bounds one specific within-subject claim (that momentary food-cued vigor shifts a person's own learning rate from trial to trial). It leaves the rest of the study intact. The parameters and their distributions are estimated cleanly at N=100 regardless of the phi result.</w:t>
      </w:r>
    </w:p>
    <w:p>
      <w:pPr>
        <w:spacing w:after="120" w:line="264"/>
      </w:pPr>
      <w:r>
        <w:rPr>
          <w:rFonts w:ascii="Arial" w:cs="Arial" w:eastAsia="Arial" w:hAnsi="Arial"/>
          <w:b/>
          <w:bCs/>
          <w:color w:val="000000"/>
          <w:sz w:val="22"/>
          <w:szCs w:val="22"/>
        </w:rPr>
        <w:t xml:space="preserve">Static parameter recovery </w:t>
      </w:r>
      <w:r>
        <w:rPr>
          <w:rFonts w:ascii="Arial" w:cs="Arial" w:eastAsia="Arial" w:hAnsi="Arial"/>
          <w:color w:val="000000"/>
          <w:sz w:val="22"/>
          <w:szCs w:val="22"/>
        </w:rPr>
        <w:t xml:space="preserve">(hierarchical EM pilot, per-subject recovery correlations):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5800"/>
      </w:tblGrid>
      <w:tr>
        <w:trPr>
          <w:tblHeader/>
        </w:trPr>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bCs/>
                <w:color w:val="000000"/>
                <w:sz w:val="22"/>
                <w:szCs w:val="22"/>
              </w:rPr>
              <w:t xml:space="preserve">parameter</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bCs/>
                <w:color w:val="000000"/>
                <w:sz w:val="22"/>
                <w:szCs w:val="22"/>
              </w:rPr>
              <w:t xml:space="preserve">per-subject recovery r (pilot)</w:t>
            </w:r>
          </w:p>
        </w:tc>
        <w:tc>
          <w:tcPr>
            <w:tcW w:type="dxa" w:w="58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bCs/>
                <w:color w:val="000000"/>
                <w:sz w:val="22"/>
                <w:szCs w:val="22"/>
              </w:rPr>
              <w:t xml:space="preserve">Note</w:t>
            </w:r>
          </w:p>
        </w:tc>
      </w:tr>
      <w:tr>
        <w:trPr>
          <w:tblHeader w:val="false"/>
        </w:trPr>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val="false"/>
                <w:bCs w:val="false"/>
                <w:color w:val="000000"/>
                <w:sz w:val="22"/>
                <w:szCs w:val="22"/>
              </w:rPr>
              <w:t xml:space="preserve">beta</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val="false"/>
                <w:bCs w:val="false"/>
                <w:color w:val="000000"/>
                <w:sz w:val="22"/>
                <w:szCs w:val="22"/>
              </w:rPr>
              <w:t xml:space="preserve">0.93 to 0.95</w:t>
            </w:r>
          </w:p>
        </w:tc>
        <w:tc>
          <w:tcPr>
            <w:tcW w:type="dxa" w:w="58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val="false"/>
                <w:bCs w:val="false"/>
                <w:color w:val="000000"/>
                <w:sz w:val="22"/>
                <w:szCs w:val="22"/>
              </w:rPr>
              <w:t xml:space="preserve">Best recovered; absorbs reward sensitivity because rho is fixed to 1</w:t>
            </w:r>
          </w:p>
        </w:tc>
      </w:tr>
      <w:tr>
        <w:trPr>
          <w:tblHeader w:val="false"/>
        </w:trPr>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val="false"/>
                <w:bCs w:val="false"/>
                <w:color w:val="000000"/>
                <w:sz w:val="22"/>
                <w:szCs w:val="22"/>
              </w:rPr>
              <w:t xml:space="preserve">alpha+</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val="false"/>
                <w:bCs w:val="false"/>
                <w:color w:val="000000"/>
                <w:sz w:val="22"/>
                <w:szCs w:val="22"/>
              </w:rPr>
              <w:t xml:space="preserve">0.78 to 0.86</w:t>
            </w:r>
          </w:p>
        </w:tc>
        <w:tc>
          <w:tcPr>
            <w:tcW w:type="dxa" w:w="58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val="false"/>
                <w:bCs w:val="false"/>
                <w:color w:val="000000"/>
                <w:sz w:val="22"/>
                <w:szCs w:val="22"/>
              </w:rPr>
              <w:t xml:space="preserve">Solid; the learning rate for positive prediction errors</w:t>
            </w:r>
          </w:p>
        </w:tc>
      </w:tr>
      <w:tr>
        <w:trPr>
          <w:tblHeader w:val="false"/>
        </w:trPr>
        <w:tc>
          <w:tcPr>
            <w:tcW w:type="dxa" w:w="2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val="false"/>
                <w:bCs w:val="false"/>
                <w:color w:val="000000"/>
                <w:sz w:val="22"/>
                <w:szCs w:val="22"/>
              </w:rPr>
              <w:t xml:space="preserve">alpha-</w:t>
            </w:r>
          </w:p>
        </w:tc>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val="false"/>
                <w:bCs w:val="false"/>
                <w:color w:val="000000"/>
                <w:sz w:val="22"/>
                <w:szCs w:val="22"/>
              </w:rPr>
              <w:t xml:space="preserve">0.80 to 0.85</w:t>
            </w:r>
          </w:p>
        </w:tc>
        <w:tc>
          <w:tcPr>
            <w:tcW w:type="dxa" w:w="58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val="false"/>
                <w:bCs w:val="false"/>
                <w:color w:val="000000"/>
                <w:sz w:val="22"/>
                <w:szCs w:val="22"/>
              </w:rPr>
              <w:t xml:space="preserve">Solid; fewer and noisier negative prediction errors behind it</w:t>
            </w:r>
          </w:p>
        </w:tc>
      </w:tr>
    </w:tbl>
    <w:p>
      <w:pPr>
        <w:spacing w:after="120" w:line="264"/>
      </w:pPr>
      <w:r>
        <w:rPr>
          <w:rFonts w:ascii="Arial" w:cs="Arial" w:eastAsia="Arial" w:hAnsi="Arial"/>
          <w:color w:val="000000"/>
          <w:sz w:val="22"/>
          <w:szCs w:val="22"/>
        </w:rPr>
        <w:t xml:space="preserve">Estimating the sample means and the between-subject spread of these is a low bar that N=100 clears. Model-agnostic indices (win-stay, lose-shift, overall optimality) are among the most reliable behavioral measures and are not power-limited at this N.</w:t>
      </w:r>
    </w:p>
    <w:p>
      <w:pPr>
        <w:spacing w:after="120" w:line="264"/>
      </w:pPr>
      <w:r>
        <w:rPr>
          <w:rFonts w:ascii="Arial" w:cs="Arial" w:eastAsia="Arial" w:hAnsi="Arial"/>
          <w:b/>
          <w:bCs/>
          <w:color w:val="000000"/>
          <w:sz w:val="22"/>
          <w:szCs w:val="22"/>
        </w:rPr>
        <w:t xml:space="preserve">What survives, concretely: </w:t>
      </w:r>
      <w:r>
        <w:rPr>
          <w:rFonts w:ascii="Arial" w:cs="Arial" w:eastAsia="Arial" w:hAnsi="Arial"/>
          <w:color w:val="000000"/>
          <w:sz w:val="22"/>
          <w:szCs w:val="22"/>
        </w:rPr>
        <w:t xml:space="preserve">group and individual estimates of alpha+, alpha-, and beta; their between-subject distributions; the reversal-learning and win-stay/lose-shift profile; and any pre-registered group comparison or moderator built on those estimates. None of these depends on phi being nonzero.</w:t>
      </w:r>
    </w:p>
    <w:p>
      <w:pPr>
        <w:spacing w:after="120" w:line="264"/>
      </w:pPr>
      <w:r>
        <w:rPr>
          <w:rFonts w:ascii="Arial" w:cs="Arial" w:eastAsia="Arial" w:hAnsi="Arial"/>
          <w:b/>
          <w:bCs/>
          <w:color w:val="000000"/>
          <w:sz w:val="22"/>
          <w:szCs w:val="22"/>
        </w:rPr>
        <w:t xml:space="preserve">Limits to keep honest: </w:t>
      </w:r>
      <w:r>
        <w:rPr>
          <w:rFonts w:ascii="Arial" w:cs="Arial" w:eastAsia="Arial" w:hAnsi="Arial"/>
          <w:color w:val="000000"/>
          <w:sz w:val="22"/>
          <w:szCs w:val="22"/>
        </w:rPr>
        <w:t xml:space="preserve">beta absorbs reward sensitivity (rho fixed to 1), so it is a composite rather than a pure choice-stochasticity term. Win-stay and lose-shift are cross-checks tied to the model parameters (win-stay tracks alpha+ and beta, lose-shift tracks alpha- and beta), not an independent evidence stream. State modulation of beta or alpha- is estimable, and the joint alpha+/beta fit gives a partial independent read of alpha+ versus beta modulation, but neither is separately powered as a confirmatory test.</w:t>
      </w:r>
      <w:r>
        <w:rPr>
          <w:rFonts w:ascii="Arial" w:cs="Arial" w:eastAsia="Arial" w:hAnsi="Arial"/>
          <w:i/>
          <w:iCs/>
          <w:color w:val="000000"/>
          <w:sz w:val="22"/>
          <w:szCs w:val="22"/>
        </w:rPr>
        <w:t xml:space="preserve"> (if you want state modulation of beta or alpha-, or a food-state contrast on win-stay/lose-shift, to be confirmatory rather than descriptive, each needs its own sigma and power check, as phi received. As descriptive or exploratory reads on well-recovered parameters they are fine at N=100.)</w:t>
      </w:r>
    </w:p>
    <w:p>
      <w:pPr>
        <w:spacing w:after="100" w:before="220"/>
      </w:pPr>
      <w:r>
        <w:rPr>
          <w:rFonts w:ascii="Arial" w:cs="Arial" w:eastAsia="Arial" w:hAnsi="Arial"/>
          <w:b/>
          <w:bCs/>
          <w:color w:val="000000"/>
          <w:sz w:val="26"/>
          <w:szCs w:val="26"/>
        </w:rPr>
        <w:t xml:space="preserve">Load-bearing empirical inputs</w:t>
      </w:r>
    </w:p>
    <w:p>
      <w:pPr>
        <w:spacing w:after="120" w:line="264"/>
      </w:pPr>
      <w:r>
        <w:rPr>
          <w:rFonts w:ascii="Arial" w:cs="Arial" w:eastAsia="Arial" w:hAnsi="Arial"/>
          <w:color w:val="000000"/>
          <w:sz w:val="22"/>
          <w:szCs w:val="22"/>
        </w:rPr>
        <w:t xml:space="preserve">These feed the power and recovery figures above. The first three are the ones to refresh on real v17.2 data.</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4200"/>
        <w:gridCol w:w="2800"/>
      </w:tblGrid>
      <w:tr>
        <w:trPr>
          <w:tblHeader/>
        </w:trPr>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bCs/>
                <w:color w:val="000000"/>
                <w:sz w:val="22"/>
                <w:szCs w:val="22"/>
              </w:rPr>
              <w:t xml:space="preserve">Input</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bCs/>
                <w:color w:val="000000"/>
                <w:sz w:val="22"/>
                <w:szCs w:val="22"/>
              </w:rPr>
              <w:t xml:space="preserve">Value</w:t>
            </w:r>
          </w:p>
        </w:tc>
        <w:tc>
          <w:tcPr>
            <w:tcW w:type="dxa" w:w="4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bCs/>
                <w:color w:val="000000"/>
                <w:sz w:val="22"/>
                <w:szCs w:val="22"/>
              </w:rPr>
              <w:t xml:space="preserve">Source / how obtained</w:t>
            </w:r>
          </w:p>
        </w:tc>
        <w:tc>
          <w:tcPr>
            <w:tcW w:type="dxa" w:w="28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bCs/>
                <w:color w:val="000000"/>
                <w:sz w:val="22"/>
                <w:szCs w:val="22"/>
              </w:rPr>
              <w:t xml:space="preserve">Status</w:t>
            </w:r>
          </w:p>
        </w:tc>
      </w:tr>
      <w:tr>
        <w:trPr>
          <w:tblHeader w:val="false"/>
        </w:trPr>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val="false"/>
                <w:bCs w:val="false"/>
                <w:color w:val="000000"/>
                <w:sz w:val="22"/>
                <w:szCs w:val="22"/>
              </w:rPr>
              <w:t xml:space="preserve">State half-life</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val="false"/>
                <w:bCs w:val="false"/>
                <w:color w:val="000000"/>
                <w:sz w:val="22"/>
                <w:szCs w:val="22"/>
              </w:rPr>
              <w:t xml:space="preserve">~9 s</w:t>
            </w:r>
          </w:p>
        </w:tc>
        <w:tc>
          <w:tcPr>
            <w:tcW w:type="dxa" w:w="4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val="false"/>
                <w:bCs w:val="false"/>
                <w:color w:val="000000"/>
                <w:sz w:val="22"/>
                <w:szCs w:val="22"/>
              </w:rPr>
              <w:t xml:space="preserve">probe_calibration_train (pilot)</w:t>
            </w:r>
          </w:p>
        </w:tc>
        <w:tc>
          <w:tcPr>
            <w:tcW w:type="dxa" w:w="28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val="false"/>
                <w:bCs w:val="false"/>
                <w:color w:val="000000"/>
                <w:sz w:val="22"/>
                <w:szCs w:val="22"/>
              </w:rPr>
              <w:t xml:space="preserve">Re-verify on fixed-window data</w:t>
            </w:r>
          </w:p>
        </w:tc>
      </w:tr>
      <w:tr>
        <w:trPr>
          <w:tblHeader w:val="false"/>
        </w:trPr>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val="false"/>
                <w:bCs w:val="false"/>
                <w:color w:val="000000"/>
                <w:sz w:val="22"/>
                <w:szCs w:val="22"/>
              </w:rPr>
              <w:t xml:space="preserve">Per-trial state persistence rho_state</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val="false"/>
                <w:bCs w:val="false"/>
                <w:color w:val="000000"/>
                <w:sz w:val="22"/>
                <w:szCs w:val="22"/>
              </w:rPr>
              <w:t xml:space="preserve">~0.76</w:t>
            </w:r>
          </w:p>
        </w:tc>
        <w:tc>
          <w:tcPr>
            <w:tcW w:type="dxa" w:w="4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val="false"/>
                <w:bCs w:val="false"/>
                <w:color w:val="000000"/>
                <w:sz w:val="22"/>
                <w:szCs w:val="22"/>
              </w:rPr>
              <w:t xml:space="preserve">Derived: 0.5^(3.5/9)</w:t>
            </w:r>
          </w:p>
        </w:tc>
        <w:tc>
          <w:tcPr>
            <w:tcW w:type="dxa" w:w="28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val="false"/>
                <w:bCs w:val="false"/>
                <w:color w:val="000000"/>
                <w:sz w:val="22"/>
                <w:szCs w:val="22"/>
              </w:rPr>
              <w:t xml:space="preserve">Follows from half-life</w:t>
            </w:r>
          </w:p>
        </w:tc>
      </w:tr>
      <w:tr>
        <w:trPr>
          <w:tblHeader w:val="false"/>
        </w:trPr>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val="false"/>
                <w:bCs w:val="false"/>
                <w:color w:val="000000"/>
                <w:sz w:val="22"/>
                <w:szCs w:val="22"/>
              </w:rPr>
              <w:t xml:space="preserve">Single-probe reliability lambda</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val="false"/>
                <w:bCs w:val="false"/>
                <w:color w:val="000000"/>
                <w:sz w:val="22"/>
                <w:szCs w:val="22"/>
              </w:rPr>
              <w:t xml:space="preserve">~0.33</w:t>
            </w:r>
          </w:p>
        </w:tc>
        <w:tc>
          <w:tcPr>
            <w:tcW w:type="dxa" w:w="4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val="false"/>
                <w:bCs w:val="false"/>
                <w:color w:val="000000"/>
                <w:sz w:val="22"/>
                <w:szCs w:val="22"/>
              </w:rPr>
              <w:t xml:space="preserve">probe_calibration_train (pilot), replicated</w:t>
            </w:r>
          </w:p>
        </w:tc>
        <w:tc>
          <w:tcPr>
            <w:tcW w:type="dxa" w:w="28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val="false"/>
                <w:bCs w:val="false"/>
                <w:color w:val="000000"/>
                <w:sz w:val="22"/>
                <w:szCs w:val="22"/>
              </w:rPr>
              <w:t xml:space="preserve">Re-verify</w:t>
            </w:r>
          </w:p>
        </w:tc>
      </w:tr>
      <w:tr>
        <w:trPr>
          <w:tblHeader w:val="false"/>
        </w:trPr>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val="false"/>
                <w:bCs w:val="false"/>
                <w:color w:val="000000"/>
                <w:sz w:val="22"/>
                <w:szCs w:val="22"/>
              </w:rPr>
              <w:t xml:space="preserve">Between-subject vigor reliability R</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val="false"/>
                <w:bCs w:val="false"/>
                <w:color w:val="000000"/>
                <w:sz w:val="22"/>
                <w:szCs w:val="22"/>
              </w:rPr>
              <w:t xml:space="preserve">~0.4</w:t>
            </w:r>
          </w:p>
        </w:tc>
        <w:tc>
          <w:tcPr>
            <w:tcW w:type="dxa" w:w="4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val="false"/>
                <w:bCs w:val="false"/>
                <w:color w:val="000000"/>
                <w:sz w:val="22"/>
                <w:szCs w:val="22"/>
              </w:rPr>
              <w:t xml:space="preserve">Split-half + ICC on residualized food-probe log RT (vigor_R.py)</w:t>
            </w:r>
          </w:p>
        </w:tc>
        <w:tc>
          <w:tcPr>
            <w:tcW w:type="dxa" w:w="28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val="false"/>
                <w:bCs w:val="false"/>
                <w:color w:val="000000"/>
                <w:sz w:val="22"/>
                <w:szCs w:val="22"/>
              </w:rPr>
              <w:t xml:space="preserve">Recompute on v17.2 counts</w:t>
            </w:r>
          </w:p>
        </w:tc>
      </w:tr>
      <w:tr>
        <w:trPr>
          <w:tblHeader w:val="false"/>
        </w:trPr>
        <w:tc>
          <w:tcPr>
            <w:tcW w:type="dxa" w:w="2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val="false"/>
                <w:bCs w:val="false"/>
                <w:color w:val="000000"/>
                <w:sz w:val="22"/>
                <w:szCs w:val="22"/>
              </w:rPr>
              <w:t xml:space="preserve">Trial duration used in sims</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val="false"/>
                <w:bCs w:val="false"/>
                <w:color w:val="000000"/>
                <w:sz w:val="22"/>
                <w:szCs w:val="22"/>
              </w:rPr>
              <w:t xml:space="preserve">3.5 s</w:t>
            </w:r>
          </w:p>
        </w:tc>
        <w:tc>
          <w:tcPr>
            <w:tcW w:type="dxa" w:w="42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val="false"/>
                <w:bCs w:val="false"/>
                <w:color w:val="000000"/>
                <w:sz w:val="22"/>
                <w:szCs w:val="22"/>
              </w:rPr>
              <w:t xml:space="preserve">Assumed in recovery scripts</w:t>
            </w:r>
          </w:p>
        </w:tc>
        <w:tc>
          <w:tcPr>
            <w:tcW w:type="dxa" w:w="28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val="false"/>
                <w:bCs w:val="false"/>
                <w:color w:val="000000"/>
                <w:sz w:val="22"/>
                <w:szCs w:val="22"/>
              </w:rPr>
              <w:t xml:space="preserve">Check against v17.2 timing</w:t>
            </w:r>
          </w:p>
        </w:tc>
      </w:tr>
    </w:tbl>
    <w:p>
      <w:pPr>
        <w:spacing w:after="100" w:before="220"/>
      </w:pPr>
      <w:r>
        <w:rPr>
          <w:rFonts w:ascii="Arial" w:cs="Arial" w:eastAsia="Arial" w:hAnsi="Arial"/>
          <w:b/>
          <w:bCs/>
          <w:color w:val="000000"/>
          <w:sz w:val="26"/>
          <w:szCs w:val="26"/>
        </w:rPr>
        <w:t xml:space="preserve">Design decisions and the analyses behind them</w:t>
      </w:r>
    </w:p>
    <w:p>
      <w:pPr>
        <w:spacing w:after="100" w:before="220"/>
      </w:pPr>
      <w:r>
        <w:rPr>
          <w:rFonts w:ascii="Arial" w:cs="Arial" w:eastAsia="Arial" w:hAnsi="Arial"/>
          <w:b/>
          <w:bCs/>
          <w:color w:val="000000"/>
          <w:sz w:val="24"/>
          <w:szCs w:val="24"/>
        </w:rPr>
        <w:t xml:space="preserve">1. Fixed probe window (550 ms); staircase removed</w:t>
      </w:r>
    </w:p>
    <w:p>
      <w:pPr>
        <w:spacing w:after="120" w:line="264"/>
      </w:pPr>
      <w:r>
        <w:rPr>
          <w:rFonts w:ascii="Arial" w:cs="Arial" w:eastAsia="Arial" w:hAnsi="Arial"/>
          <w:b/>
          <w:bCs/>
          <w:color w:val="000000"/>
          <w:sz w:val="22"/>
          <w:szCs w:val="22"/>
        </w:rPr>
        <w:t xml:space="preserve">Concern. </w:t>
      </w:r>
      <w:r>
        <w:rPr>
          <w:rFonts w:ascii="Arial" w:cs="Arial" w:eastAsia="Arial" w:hAnsi="Arial"/>
          <w:color w:val="000000"/>
          <w:sz w:val="22"/>
          <w:szCs w:val="22"/>
        </w:rPr>
        <w:t xml:space="preserve">The v13/v14 adaptive staircase held hit rate near target by moving the window per subject, which stripped out the probe RT variance phi depends on (near-zero pilot ICC).</w:t>
      </w:r>
    </w:p>
    <w:p>
      <w:pPr>
        <w:spacing w:after="120" w:line="264"/>
      </w:pPr>
      <w:r>
        <w:rPr>
          <w:rFonts w:ascii="Arial" w:cs="Arial" w:eastAsia="Arial" w:hAnsi="Arial"/>
          <w:b/>
          <w:bCs/>
          <w:color w:val="000000"/>
          <w:sz w:val="22"/>
          <w:szCs w:val="22"/>
        </w:rPr>
        <w:t xml:space="preserve">Action. </w:t>
      </w:r>
      <w:r>
        <w:rPr>
          <w:rFonts w:ascii="Arial" w:cs="Arial" w:eastAsia="Arial" w:hAnsi="Arial"/>
          <w:color w:val="000000"/>
          <w:sz w:val="22"/>
          <w:szCs w:val="22"/>
        </w:rPr>
        <w:t xml:space="preserve">Every probe uses one fixed 550 ms window for every subject and round; the adaptive_window_ms column is kept as a constant for pipeline compatibility.</w:t>
      </w:r>
    </w:p>
    <w:p>
      <w:pPr>
        <w:spacing w:after="120" w:line="264"/>
      </w:pPr>
      <w:r>
        <w:rPr>
          <w:rFonts w:ascii="Arial" w:cs="Arial" w:eastAsia="Arial" w:hAnsi="Arial"/>
          <w:b/>
          <w:bCs/>
          <w:color w:val="000000"/>
          <w:sz w:val="22"/>
          <w:szCs w:val="22"/>
        </w:rPr>
        <w:t xml:space="preserve">Result. </w:t>
      </w:r>
      <w:r>
        <w:rPr>
          <w:rFonts w:ascii="Arial" w:cs="Arial" w:eastAsia="Arial" w:hAnsi="Arial"/>
          <w:color w:val="000000"/>
          <w:sz w:val="22"/>
          <w:szCs w:val="22"/>
        </w:rPr>
        <w:t xml:space="preserve">Between-probe and between-subject RT variance is preserved. vigor_R.py carries a window-adjustment path so staircase-era pilot data can still contribute to the reliability estimate.</w:t>
      </w:r>
      <w:r>
        <w:rPr>
          <w:rFonts w:ascii="Arial" w:cs="Arial" w:eastAsia="Arial" w:hAnsi="Arial"/>
          <w:i/>
          <w:iCs/>
          <w:color w:val="000000"/>
          <w:sz w:val="22"/>
          <w:szCs w:val="22"/>
        </w:rPr>
        <w:t xml:space="preserve"> (the ICC that motivated this was measured under the staircase, so it is not a final number.)</w:t>
      </w:r>
    </w:p>
    <w:p>
      <w:pPr>
        <w:spacing w:after="100" w:before="220"/>
      </w:pPr>
      <w:r>
        <w:rPr>
          <w:rFonts w:ascii="Arial" w:cs="Arial" w:eastAsia="Arial" w:hAnsi="Arial"/>
          <w:b/>
          <w:bCs/>
          <w:color w:val="000000"/>
          <w:sz w:val="24"/>
          <w:szCs w:val="24"/>
        </w:rPr>
        <w:t xml:space="preserve">2. Probe density (48 food, 22 neutral) and the joint alpha+/beta fit</w:t>
      </w:r>
    </w:p>
    <w:p>
      <w:pPr>
        <w:spacing w:after="120" w:line="264"/>
      </w:pPr>
      <w:r>
        <w:rPr>
          <w:rFonts w:ascii="Arial" w:cs="Arial" w:eastAsia="Arial" w:hAnsi="Arial"/>
          <w:b/>
          <w:bCs/>
          <w:color w:val="000000"/>
          <w:sz w:val="22"/>
          <w:szCs w:val="22"/>
        </w:rPr>
        <w:t xml:space="preserve">Analysis. </w:t>
      </w:r>
      <w:r>
        <w:rPr>
          <w:rFonts w:ascii="Arial" w:cs="Arial" w:eastAsia="Arial" w:hAnsi="Arial"/>
          <w:color w:val="000000"/>
          <w:sz w:val="22"/>
          <w:szCs w:val="22"/>
        </w:rPr>
        <w:t xml:space="preserve">block_phi_recovery_v2.py swept food-probe counts (25, 32, 48) with true phi 0.15, rho_state about 0.76, lambda 0.33. Higher density plus the fixed window is what the recovery converged on for trial-wise phi.</w:t>
      </w:r>
    </w:p>
    <w:p>
      <w:pPr>
        <w:spacing w:after="120" w:line="264"/>
      </w:pPr>
      <w:r>
        <w:rPr>
          <w:rFonts w:ascii="Arial" w:cs="Arial" w:eastAsia="Arial" w:hAnsi="Arial"/>
          <w:b/>
          <w:bCs/>
          <w:color w:val="000000"/>
          <w:sz w:val="22"/>
          <w:szCs w:val="22"/>
        </w:rPr>
        <w:t xml:space="preserve">Result. </w:t>
      </w:r>
      <w:r>
        <w:rPr>
          <w:rFonts w:ascii="Arial" w:cs="Arial" w:eastAsia="Arial" w:hAnsi="Arial"/>
          <w:color w:val="000000"/>
          <w:sz w:val="22"/>
          <w:szCs w:val="22"/>
        </w:rPr>
        <w:t xml:space="preserve">The joint fit cuts the beta leak into phi_hat to about 0.048 at 48 probes, against roughly 0.11 to 0.16 for a single-parameter fit.</w:t>
      </w:r>
      <w:r>
        <w:rPr>
          <w:rFonts w:ascii="Arial" w:cs="Arial" w:eastAsia="Arial" w:hAnsi="Arial"/>
          <w:i/>
          <w:iCs/>
          <w:color w:val="000000"/>
          <w:sz w:val="22"/>
          <w:szCs w:val="22"/>
        </w:rPr>
        <w:t xml:space="preserve"> (leak figures from the phi-interpretation note; simulation results.)</w:t>
      </w:r>
    </w:p>
    <w:p>
      <w:pPr>
        <w:spacing w:after="120" w:line="264"/>
      </w:pPr>
      <w:r>
        <w:rPr>
          <w:rFonts w:ascii="Arial" w:cs="Arial" w:eastAsia="Arial" w:hAnsi="Arial"/>
          <w:b/>
          <w:bCs/>
          <w:color w:val="000000"/>
          <w:sz w:val="22"/>
          <w:szCs w:val="22"/>
        </w:rPr>
        <w:t xml:space="preserve">Design choice. </w:t>
      </w:r>
      <w:r>
        <w:rPr>
          <w:rFonts w:ascii="Arial" w:cs="Arial" w:eastAsia="Arial" w:hAnsi="Arial"/>
          <w:color w:val="000000"/>
          <w:sz w:val="22"/>
          <w:szCs w:val="22"/>
        </w:rPr>
        <w:t xml:space="preserve">48 food + 22 neutral probes per session (24 + 11 per run), single press per probe.</w:t>
      </w:r>
    </w:p>
    <w:p>
      <w:pPr>
        <w:spacing w:after="100" w:before="220"/>
      </w:pPr>
      <w:r>
        <w:rPr>
          <w:rFonts w:ascii="Arial" w:cs="Arial" w:eastAsia="Arial" w:hAnsi="Arial"/>
          <w:b/>
          <w:bCs/>
          <w:color w:val="000000"/>
          <w:sz w:val="24"/>
          <w:szCs w:val="24"/>
        </w:rPr>
        <w:t xml:space="preserve">3. Reward sensitivity rho fixed to 1</w:t>
      </w:r>
    </w:p>
    <w:p>
      <w:pPr>
        <w:spacing w:after="120" w:line="264"/>
      </w:pPr>
      <w:r>
        <w:rPr>
          <w:rFonts w:ascii="Arial" w:cs="Arial" w:eastAsia="Arial" w:hAnsi="Arial"/>
          <w:b/>
          <w:bCs/>
          <w:color w:val="000000"/>
          <w:sz w:val="22"/>
          <w:szCs w:val="22"/>
        </w:rPr>
        <w:t xml:space="preserve">Concern. </w:t>
      </w:r>
      <w:r>
        <w:rPr>
          <w:rFonts w:ascii="Arial" w:cs="Arial" w:eastAsia="Arial" w:hAnsi="Arial"/>
          <w:color w:val="000000"/>
          <w:sz w:val="22"/>
          <w:szCs w:val="22"/>
        </w:rPr>
        <w:t xml:space="preserve">With one reward magnitude, rho and beta are not separately identifiable; choices fix only their product.</w:t>
      </w:r>
    </w:p>
    <w:p>
      <w:pPr>
        <w:spacing w:after="120" w:line="264"/>
      </w:pPr>
      <w:r>
        <w:rPr>
          <w:rFonts w:ascii="Arial" w:cs="Arial" w:eastAsia="Arial" w:hAnsi="Arial"/>
          <w:b/>
          <w:bCs/>
          <w:color w:val="000000"/>
          <w:sz w:val="22"/>
          <w:szCs w:val="22"/>
        </w:rPr>
        <w:t xml:space="preserve">Action and result. </w:t>
      </w:r>
      <w:r>
        <w:rPr>
          <w:rFonts w:ascii="Arial" w:cs="Arial" w:eastAsia="Arial" w:hAnsi="Arial"/>
          <w:color w:val="000000"/>
          <w:sz w:val="22"/>
          <w:szCs w:val="22"/>
        </w:rPr>
        <w:t xml:space="preserve">rho is fixed to 1 in both the gamma fit and the phi fit, and reward sensitivity is read from beta, which keeps beta interpretable as value-guided choice.</w:t>
      </w:r>
    </w:p>
    <w:p>
      <w:pPr>
        <w:spacing w:after="100" w:before="220"/>
      </w:pPr>
      <w:r>
        <w:rPr>
          <w:rFonts w:ascii="Arial" w:cs="Arial" w:eastAsia="Arial" w:hAnsi="Arial"/>
          <w:b/>
          <w:bCs/>
          <w:color w:val="000000"/>
          <w:sz w:val="24"/>
          <w:szCs w:val="24"/>
        </w:rPr>
        <w:t xml:space="preserve">4. Bonus confound removed at the source (silent accrual)</w:t>
      </w:r>
    </w:p>
    <w:p>
      <w:pPr>
        <w:spacing w:after="120" w:line="264"/>
      </w:pPr>
      <w:r>
        <w:rPr>
          <w:rFonts w:ascii="Arial" w:cs="Arial" w:eastAsia="Arial" w:hAnsi="Arial"/>
          <w:b/>
          <w:bCs/>
          <w:color w:val="000000"/>
          <w:sz w:val="22"/>
          <w:szCs w:val="22"/>
        </w:rPr>
        <w:t xml:space="preserve">Concern. </w:t>
      </w:r>
      <w:r>
        <w:rPr>
          <w:rFonts w:ascii="Arial" w:cs="Arial" w:eastAsia="Arial" w:hAnsi="Arial"/>
          <w:color w:val="000000"/>
          <w:sz w:val="22"/>
          <w:szCs w:val="22"/>
        </w:rPr>
        <w:t xml:space="preserve">A fast probe response earns a bonus. If shown as an outcome, that bonus is a reward event between the probe and the next bandit trial, opening an RT-to-bonus-to-alpha+ path correlated with the state.</w:t>
      </w:r>
    </w:p>
    <w:p>
      <w:pPr>
        <w:spacing w:after="120" w:line="264"/>
      </w:pPr>
      <w:r>
        <w:rPr>
          <w:rFonts w:ascii="Arial" w:cs="Arial" w:eastAsia="Arial" w:hAnsi="Arial"/>
          <w:b/>
          <w:bCs/>
          <w:color w:val="000000"/>
          <w:sz w:val="22"/>
          <w:szCs w:val="22"/>
        </w:rPr>
        <w:t xml:space="preserve">v17.2 action. </w:t>
      </w:r>
      <w:r>
        <w:rPr>
          <w:rFonts w:ascii="Arial" w:cs="Arial" w:eastAsia="Arial" w:hAnsi="Arial"/>
          <w:color w:val="000000"/>
          <w:sz w:val="22"/>
          <w:szCs w:val="22"/>
        </w:rPr>
        <w:t xml:space="preserve">Accrue the bonus silently (a neutral gap after the response, total revealed only at the end) and set food and neutral stakes equal, so neither a win/loss event nor a magnitude difference sits between probe and next trial.</w:t>
      </w:r>
    </w:p>
    <w:p>
      <w:pPr>
        <w:spacing w:after="120" w:line="264"/>
      </w:pPr>
      <w:r>
        <w:rPr>
          <w:rFonts w:ascii="Arial" w:cs="Arial" w:eastAsia="Arial" w:hAnsi="Arial"/>
          <w:b/>
          <w:bCs/>
          <w:color w:val="000000"/>
          <w:sz w:val="22"/>
          <w:szCs w:val="22"/>
        </w:rPr>
        <w:t xml:space="preserve">Result. </w:t>
      </w:r>
      <w:r>
        <w:rPr>
          <w:rFonts w:ascii="Arial" w:cs="Arial" w:eastAsia="Arial" w:hAnsi="Arial"/>
          <w:color w:val="000000"/>
          <w:sz w:val="22"/>
          <w:szCs w:val="22"/>
        </w:rPr>
        <w:t xml:space="preserve">The nuisance path is removed by construction, and the recovery run above confirms the estimator stays clean under this timing. This supersedes the earlier v16 plan to carry a decaying bonus trace as a nuisance regressor.</w:t>
      </w:r>
      <w:r>
        <w:rPr>
          <w:rFonts w:ascii="Arial" w:cs="Arial" w:eastAsia="Arial" w:hAnsi="Arial"/>
          <w:i/>
          <w:iCs/>
          <w:color w:val="000000"/>
          <w:sz w:val="22"/>
          <w:szCs w:val="22"/>
        </w:rPr>
        <w:t xml:space="preserve"> (update the phi-interpretation note, which still lists the decaying-trace plan.)</w:t>
      </w:r>
    </w:p>
    <w:p>
      <w:pPr>
        <w:spacing w:after="100" w:before="220"/>
      </w:pPr>
      <w:r>
        <w:rPr>
          <w:rFonts w:ascii="Arial" w:cs="Arial" w:eastAsia="Arial" w:hAnsi="Arial"/>
          <w:b/>
          <w:bCs/>
          <w:color w:val="000000"/>
          <w:sz w:val="24"/>
          <w:szCs w:val="24"/>
        </w:rPr>
        <w:t xml:space="preserve">5. Trial-wise phi recovery: attenuation, specificity, heterogeneity</w:t>
      </w:r>
    </w:p>
    <w:p>
      <w:pPr>
        <w:pStyle w:val="ListParagraph"/>
        <w:numPr>
          <w:ilvl w:val="0"/>
          <w:numId w:val="1"/>
        </w:numPr>
        <w:spacing w:after="90" w:line="264"/>
      </w:pPr>
      <w:r>
        <w:rPr>
          <w:rFonts w:ascii="Arial" w:cs="Arial" w:eastAsia="Arial" w:hAnsi="Arial"/>
          <w:b/>
          <w:bCs/>
          <w:color w:val="000000"/>
          <w:sz w:val="22"/>
          <w:szCs w:val="22"/>
        </w:rPr>
        <w:t xml:space="preserve">Attenuation. </w:t>
      </w:r>
      <w:r>
        <w:rPr>
          <w:rFonts w:ascii="Arial" w:cs="Arial" w:eastAsia="Arial" w:hAnsi="Arial"/>
          <w:color w:val="000000"/>
          <w:sz w:val="22"/>
          <w:szCs w:val="22"/>
        </w:rPr>
        <w:t xml:space="preserve">phi recovers with downward bias, roughly 0.07 to 0.10 against a true 0.15. Group-level detection works; per-person phi is noisy and should not be over-read.</w:t>
      </w:r>
    </w:p>
    <w:p>
      <w:pPr>
        <w:pStyle w:val="ListParagraph"/>
        <w:numPr>
          <w:ilvl w:val="0"/>
          <w:numId w:val="1"/>
        </w:numPr>
        <w:spacing w:after="90" w:line="264"/>
      </w:pPr>
      <w:r>
        <w:rPr>
          <w:rFonts w:ascii="Arial" w:cs="Arial" w:eastAsia="Arial" w:hAnsi="Arial"/>
          <w:b/>
          <w:bCs/>
          <w:color w:val="000000"/>
          <w:sz w:val="22"/>
          <w:szCs w:val="22"/>
        </w:rPr>
        <w:t xml:space="preserve">Specificity. </w:t>
      </w:r>
      <w:r>
        <w:rPr>
          <w:rFonts w:ascii="Arial" w:cs="Arial" w:eastAsia="Arial" w:hAnsi="Arial"/>
          <w:color w:val="000000"/>
          <w:sz w:val="22"/>
          <w:szCs w:val="22"/>
        </w:rPr>
        <w:t xml:space="preserve">A state effect on beta or alpha- can leak into phi_hat; the joint fit keeps this small, but a beta masquerade rose under easier reward schedules, so specificity is schedule-dependent.</w:t>
      </w:r>
      <w:r>
        <w:rPr>
          <w:rFonts w:ascii="Arial" w:cs="Arial" w:eastAsia="Arial" w:hAnsi="Arial"/>
          <w:i/>
          <w:iCs/>
          <w:color w:val="000000"/>
          <w:sz w:val="22"/>
          <w:szCs w:val="22"/>
        </w:rPr>
        <w:t xml:space="preserve"> (simulation, not settled.)</w:t>
      </w:r>
    </w:p>
    <w:p>
      <w:pPr>
        <w:pStyle w:val="ListParagraph"/>
        <w:numPr>
          <w:ilvl w:val="0"/>
          <w:numId w:val="1"/>
        </w:numPr>
        <w:spacing w:after="90" w:line="264"/>
      </w:pPr>
      <w:r>
        <w:rPr>
          <w:rFonts w:ascii="Arial" w:cs="Arial" w:eastAsia="Arial" w:hAnsi="Arial"/>
          <w:b/>
          <w:bCs/>
          <w:color w:val="000000"/>
          <w:sz w:val="22"/>
          <w:szCs w:val="22"/>
        </w:rPr>
        <w:t xml:space="preserve">Heterogeneity. </w:t>
      </w:r>
      <w:r>
        <w:rPr>
          <w:rFonts w:ascii="Arial" w:cs="Arial" w:eastAsia="Arial" w:hAnsi="Arial"/>
          <w:color w:val="000000"/>
          <w:sz w:val="22"/>
          <w:szCs w:val="22"/>
        </w:rPr>
        <w:t xml:space="preserve">Required N rises with sigma_phi: about 100 near 0.1, into the hundreds near 0.4. The precision run above shows this is resolvable by N=50 to 100.</w:t>
      </w:r>
    </w:p>
    <w:p>
      <w:pPr>
        <w:spacing w:after="100" w:before="220"/>
      </w:pPr>
      <w:r>
        <w:rPr>
          <w:rFonts w:ascii="Arial" w:cs="Arial" w:eastAsia="Arial" w:hAnsi="Arial"/>
          <w:b/>
          <w:bCs/>
          <w:color w:val="000000"/>
          <w:sz w:val="24"/>
          <w:szCs w:val="24"/>
        </w:rPr>
        <w:t xml:space="preserve">6. Group-level gamma route (secondary)</w:t>
      </w:r>
    </w:p>
    <w:p>
      <w:pPr>
        <w:spacing w:after="120" w:line="264"/>
      </w:pPr>
      <w:r>
        <w:rPr>
          <w:rFonts w:ascii="Arial" w:cs="Arial" w:eastAsia="Arial" w:hAnsi="Arial"/>
          <w:b/>
          <w:bCs/>
          <w:color w:val="000000"/>
          <w:sz w:val="22"/>
          <w:szCs w:val="22"/>
        </w:rPr>
        <w:t xml:space="preserve">Analysis. </w:t>
      </w:r>
      <w:r>
        <w:rPr>
          <w:rFonts w:ascii="Arial" w:cs="Arial" w:eastAsia="Arial" w:hAnsi="Arial"/>
          <w:color w:val="000000"/>
          <w:sz w:val="22"/>
          <w:szCs w:val="22"/>
        </w:rPr>
        <w:t xml:space="preserve">new_bandit_recovery_script_v2.py runs hierarchical EM with rho fixed to 1 and residual food vigor as a group regressor on logit(alpha+), logit(alpha-), and log(beta), with between-subject vigor reliability R. Pilot recovery quality (12 datasets, 100 subjects, true gamma 0.35):</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250"/>
        <w:gridCol w:w="1700"/>
        <w:gridCol w:w="1500"/>
        <w:gridCol w:w="2450"/>
        <w:gridCol w:w="1500"/>
        <w:gridCol w:w="2400"/>
      </w:tblGrid>
      <w:tr>
        <w:trPr>
          <w:tblHeader/>
        </w:trPr>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bCs/>
                <w:color w:val="000000"/>
                <w:sz w:val="22"/>
                <w:szCs w:val="22"/>
              </w:rPr>
              <w:t xml:space="preserve">Parameter</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bCs/>
                <w:color w:val="000000"/>
                <w:sz w:val="22"/>
                <w:szCs w:val="22"/>
              </w:rPr>
              <w:t xml:space="preserve">Recovery r (pilot)</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bCs/>
                <w:color w:val="000000"/>
                <w:sz w:val="22"/>
                <w:szCs w:val="22"/>
              </w:rPr>
              <w:t xml:space="preserve">Gamma bias (pilot)</w:t>
            </w:r>
          </w:p>
        </w:tc>
        <w:tc>
          <w:tcPr>
            <w:tcW w:type="dxa" w:w="245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bCs/>
                <w:color w:val="000000"/>
                <w:sz w:val="22"/>
                <w:szCs w:val="22"/>
              </w:rPr>
              <w:t xml:space="preserve">Detection (power / FPR)</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bCs/>
                <w:color w:val="000000"/>
                <w:sz w:val="22"/>
                <w:szCs w:val="22"/>
              </w:rPr>
              <w:t xml:space="preserve">CI coverage</w:t>
            </w:r>
          </w:p>
        </w:tc>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bCs/>
                <w:color w:val="000000"/>
                <w:sz w:val="22"/>
                <w:szCs w:val="22"/>
              </w:rPr>
              <w:t xml:space="preserve">Note</w:t>
            </w:r>
          </w:p>
        </w:tc>
      </w:tr>
      <w:tr>
        <w:trPr>
          <w:tblHeader w:val="false"/>
        </w:trPr>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val="false"/>
                <w:bCs w:val="false"/>
                <w:color w:val="000000"/>
                <w:sz w:val="22"/>
                <w:szCs w:val="22"/>
              </w:rPr>
              <w:t xml:space="preserve">alpha+</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val="false"/>
                <w:bCs w:val="false"/>
                <w:color w:val="000000"/>
                <w:sz w:val="22"/>
                <w:szCs w:val="22"/>
              </w:rPr>
              <w:t xml:space="preserve">0.78 to 0.86</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val="false"/>
                <w:bCs w:val="false"/>
                <w:color w:val="000000"/>
                <w:sz w:val="22"/>
                <w:szCs w:val="22"/>
              </w:rPr>
              <w:t xml:space="preserve">about -0.01</w:t>
            </w:r>
          </w:p>
        </w:tc>
        <w:tc>
          <w:tcPr>
            <w:tcW w:type="dxa" w:w="245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val="false"/>
                <w:bCs w:val="false"/>
                <w:color w:val="000000"/>
                <w:sz w:val="22"/>
                <w:szCs w:val="22"/>
              </w:rPr>
              <w:t xml:space="preserve">anti-conservative; null FPR ~0.25</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val="false"/>
                <w:bCs w:val="false"/>
                <w:color w:val="000000"/>
                <w:sz w:val="22"/>
                <w:szCs w:val="22"/>
              </w:rPr>
              <w:t xml:space="preserve">~0.75 to 0.83</w:t>
            </w:r>
          </w:p>
        </w:tc>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val="false"/>
                <w:bCs w:val="false"/>
                <w:color w:val="000000"/>
                <w:sz w:val="22"/>
                <w:szCs w:val="22"/>
              </w:rPr>
              <w:t xml:space="preserve">Use permutation</w:t>
            </w:r>
          </w:p>
        </w:tc>
      </w:tr>
      <w:tr>
        <w:trPr>
          <w:tblHeader w:val="false"/>
        </w:trPr>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val="false"/>
                <w:bCs w:val="false"/>
                <w:color w:val="000000"/>
                <w:sz w:val="22"/>
                <w:szCs w:val="22"/>
              </w:rPr>
              <w:t xml:space="preserve">alpha-</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val="false"/>
                <w:bCs w:val="false"/>
                <w:color w:val="000000"/>
                <w:sz w:val="22"/>
                <w:szCs w:val="22"/>
              </w:rPr>
              <w:t xml:space="preserve">0.80 to 0.85</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val="false"/>
                <w:bCs w:val="false"/>
                <w:color w:val="000000"/>
                <w:sz w:val="22"/>
                <w:szCs w:val="22"/>
              </w:rPr>
              <w:t xml:space="preserve">about +0.02</w:t>
            </w:r>
          </w:p>
        </w:tc>
        <w:tc>
          <w:tcPr>
            <w:tcW w:type="dxa" w:w="245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val="false"/>
                <w:bCs w:val="false"/>
                <w:color w:val="000000"/>
                <w:sz w:val="22"/>
                <w:szCs w:val="22"/>
              </w:rPr>
              <w:t xml:space="preserve">power ~1.0; null FPR ~0.08</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val="false"/>
                <w:bCs w:val="false"/>
                <w:color w:val="000000"/>
                <w:sz w:val="22"/>
                <w:szCs w:val="22"/>
              </w:rPr>
              <w:t xml:space="preserve">~0.92</w:t>
            </w:r>
          </w:p>
        </w:tc>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val="false"/>
                <w:bCs w:val="false"/>
                <w:color w:val="000000"/>
                <w:sz w:val="22"/>
                <w:szCs w:val="22"/>
              </w:rPr>
              <w:t xml:space="preserve">Calibrated</w:t>
            </w:r>
          </w:p>
        </w:tc>
      </w:tr>
      <w:tr>
        <w:trPr>
          <w:tblHeader w:val="false"/>
        </w:trPr>
        <w:tc>
          <w:tcPr>
            <w:tcW w:type="dxa" w:w="125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val="false"/>
                <w:bCs w:val="false"/>
                <w:color w:val="000000"/>
                <w:sz w:val="22"/>
                <w:szCs w:val="22"/>
              </w:rPr>
              <w:t xml:space="preserve">beta</w:t>
            </w:r>
          </w:p>
        </w:tc>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val="false"/>
                <w:bCs w:val="false"/>
                <w:color w:val="000000"/>
                <w:sz w:val="22"/>
                <w:szCs w:val="22"/>
              </w:rPr>
              <w:t xml:space="preserve">0.93 to 0.95</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val="false"/>
                <w:bCs w:val="false"/>
                <w:color w:val="000000"/>
                <w:sz w:val="22"/>
                <w:szCs w:val="22"/>
              </w:rPr>
              <w:t xml:space="preserve">about +0.01</w:t>
            </w:r>
          </w:p>
        </w:tc>
        <w:tc>
          <w:tcPr>
            <w:tcW w:type="dxa" w:w="245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val="false"/>
                <w:bCs w:val="false"/>
                <w:color w:val="000000"/>
                <w:sz w:val="22"/>
                <w:szCs w:val="22"/>
              </w:rPr>
              <w:t xml:space="preserve">power ~1.0; null FPR ~0.00</w:t>
            </w:r>
          </w:p>
        </w:tc>
        <w:tc>
          <w:tcPr>
            <w:tcW w:type="dxa" w:w="15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val="false"/>
                <w:bCs w:val="false"/>
                <w:color w:val="000000"/>
                <w:sz w:val="22"/>
                <w:szCs w:val="22"/>
              </w:rPr>
              <w:t xml:space="preserve">~0.92 to 1.0</w:t>
            </w:r>
          </w:p>
        </w:tc>
        <w:tc>
          <w:tcPr>
            <w:tcW w:type="dxa" w:w="2400"/>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after="0" w:line="252"/>
            </w:pPr>
            <w:r>
              <w:rPr>
                <w:rFonts w:ascii="Arial" w:cs="Arial" w:eastAsia="Arial" w:hAnsi="Arial"/>
                <w:b w:val="false"/>
                <w:bCs w:val="false"/>
                <w:color w:val="000000"/>
                <w:sz w:val="22"/>
                <w:szCs w:val="22"/>
              </w:rPr>
              <w:t xml:space="preserve">Calibrated</w:t>
            </w:r>
          </w:p>
        </w:tc>
      </w:tr>
    </w:tbl>
    <w:p>
      <w:pPr>
        <w:spacing w:after="120" w:line="264"/>
      </w:pPr>
      <w:r>
        <w:rPr>
          <w:rFonts w:ascii="Arial" w:cs="Arial" w:eastAsia="Arial" w:hAnsi="Arial"/>
          <w:color w:val="000000"/>
          <w:sz w:val="22"/>
          <w:szCs w:val="22"/>
        </w:rPr>
        <w:t xml:space="preserve">The power recompute at v17.2 counts (section C above) is the operative planning table for this route. Recovery is good, but power at N=100 is adequate only for a large gamma, so the route is carried as exploratory.</w:t>
      </w:r>
    </w:p>
    <w:p>
      <w:pPr>
        <w:spacing w:after="100" w:before="220"/>
      </w:pPr>
      <w:r>
        <w:rPr>
          <w:rFonts w:ascii="Arial" w:cs="Arial" w:eastAsia="Arial" w:hAnsi="Arial"/>
          <w:b/>
          <w:bCs/>
          <w:color w:val="000000"/>
          <w:sz w:val="24"/>
          <w:szCs w:val="24"/>
        </w:rPr>
        <w:t xml:space="preserve">7. Inference method for alpha+ and phi</w:t>
      </w:r>
    </w:p>
    <w:p>
      <w:pPr>
        <w:spacing w:after="120" w:line="264"/>
      </w:pPr>
      <w:r>
        <w:rPr>
          <w:rFonts w:ascii="Arial" w:cs="Arial" w:eastAsia="Arial" w:hAnsi="Arial"/>
          <w:b/>
          <w:bCs/>
          <w:color w:val="000000"/>
          <w:sz w:val="22"/>
          <w:szCs w:val="22"/>
        </w:rPr>
        <w:t xml:space="preserve">Result and decision. </w:t>
      </w:r>
      <w:r>
        <w:rPr>
          <w:rFonts w:ascii="Arial" w:cs="Arial" w:eastAsia="Arial" w:hAnsi="Arial"/>
          <w:color w:val="000000"/>
          <w:sz w:val="22"/>
          <w:szCs w:val="22"/>
        </w:rPr>
        <w:t xml:space="preserve">EM Wald intervals for alpha+ are anti-conservative in the pilot (coverage about 0.78). Confirm alpha+ and phi effects with a permutation test (permute the probe values, then rebuild the carry-forward epochs) or a full posterior, not the Wald interval.</w:t>
      </w:r>
    </w:p>
    <w:p>
      <w:pPr>
        <w:spacing w:after="100" w:before="220"/>
      </w:pPr>
      <w:r>
        <w:rPr>
          <w:rFonts w:ascii="Arial" w:cs="Arial" w:eastAsia="Arial" w:hAnsi="Arial"/>
          <w:b/>
          <w:bCs/>
          <w:color w:val="000000"/>
          <w:sz w:val="24"/>
          <w:szCs w:val="24"/>
        </w:rPr>
        <w:t xml:space="preserve">8. Two-run structure with Q reset</w:t>
      </w:r>
    </w:p>
    <w:p>
      <w:pPr>
        <w:spacing w:after="120" w:line="264"/>
      </w:pPr>
      <w:r>
        <w:rPr>
          <w:rFonts w:ascii="Arial" w:cs="Arial" w:eastAsia="Arial" w:hAnsi="Arial"/>
          <w:b/>
          <w:bCs/>
          <w:color w:val="000000"/>
          <w:sz w:val="22"/>
          <w:szCs w:val="22"/>
        </w:rPr>
        <w:t xml:space="preserve">Action. </w:t>
      </w:r>
      <w:r>
        <w:rPr>
          <w:rFonts w:ascii="Arial" w:cs="Arial" w:eastAsia="Arial" w:hAnsi="Arial"/>
          <w:color w:val="000000"/>
          <w:sz w:val="22"/>
          <w:szCs w:val="22"/>
        </w:rPr>
        <w:t xml:space="preserve">Two independent 100-trial runs, one reversal per run (task trials 54 and 46), arms re-drawn and Q reset at the break, and three distinct run-2 symbols so no learned shape value carries over. This also fixes an earlier bug where run 2 reused run-1 symbols and swap_count did not reset.</w:t>
      </w:r>
      <w:r>
        <w:rPr>
          <w:rFonts w:ascii="Arial" w:cs="Arial" w:eastAsia="Arial" w:hAnsi="Arial"/>
          <w:i/>
          <w:iCs/>
          <w:color w:val="000000"/>
          <w:sz w:val="22"/>
          <w:szCs w:val="22"/>
        </w:rPr>
        <w:t xml:space="preserve"> (no simulation specifically compared two runs of 100 against one run of 200; the recovery sims used a 200-trial two-reversal schedule at 69 and 130, or a single 100-trial run with a reversal at 50, both differing from the task's per-run reversals.)</w:t>
      </w:r>
    </w:p>
    <w:p>
      <w:pPr>
        <w:spacing w:after="100" w:before="220"/>
      </w:pPr>
      <w:r>
        <w:rPr>
          <w:rFonts w:ascii="Arial" w:cs="Arial" w:eastAsia="Arial" w:hAnsi="Arial"/>
          <w:b/>
          <w:bCs/>
          <w:color w:val="000000"/>
          <w:sz w:val="26"/>
          <w:szCs w:val="26"/>
        </w:rPr>
        <w:t xml:space="preserve">Open items</w:t>
      </w:r>
    </w:p>
    <w:p>
      <w:pPr>
        <w:spacing w:after="120" w:line="264"/>
      </w:pPr>
      <w:r>
        <w:rPr>
          <w:rFonts w:ascii="Arial" w:cs="Arial" w:eastAsia="Arial" w:hAnsi="Arial"/>
          <w:b/>
          <w:bCs/>
          <w:color w:val="000000"/>
          <w:sz w:val="22"/>
          <w:szCs w:val="22"/>
        </w:rPr>
        <w:t xml:space="preserve">Done this round: </w:t>
      </w:r>
      <w:r>
        <w:rPr>
          <w:rFonts w:ascii="Arial" w:cs="Arial" w:eastAsia="Arial" w:hAnsi="Arial"/>
          <w:color w:val="000000"/>
          <w:sz w:val="22"/>
          <w:szCs w:val="22"/>
        </w:rPr>
        <w:t xml:space="preserve">phi recovery confirmed clean under silent accrual; gamma-route power recomputed at v17.2 counts; sigma_phi and R precision quantified.</w:t>
      </w:r>
    </w:p>
    <w:p>
      <w:pPr>
        <w:pStyle w:val="ListParagraph"/>
        <w:numPr>
          <w:ilvl w:val="0"/>
          <w:numId w:val="1"/>
        </w:numPr>
        <w:spacing w:after="90" w:line="264"/>
      </w:pPr>
      <w:r>
        <w:rPr>
          <w:rFonts w:ascii="Arial" w:cs="Arial" w:eastAsia="Arial" w:hAnsi="Arial"/>
          <w:color w:val="000000"/>
          <w:sz w:val="22"/>
          <w:szCs w:val="22"/>
        </w:rPr>
        <w:t xml:space="preserve">Estimate sigma_phi at a pilot interim (about N=50) and read the power regime; this is the number that gates the primary phi test and the final N.</w:t>
      </w:r>
    </w:p>
    <w:p>
      <w:pPr>
        <w:pStyle w:val="ListParagraph"/>
        <w:numPr>
          <w:ilvl w:val="0"/>
          <w:numId w:val="1"/>
        </w:numPr>
        <w:spacing w:after="90" w:line="264"/>
      </w:pPr>
      <w:r>
        <w:rPr>
          <w:rFonts w:ascii="Arial" w:cs="Arial" w:eastAsia="Arial" w:hAnsi="Arial"/>
          <w:color w:val="000000"/>
          <w:sz w:val="22"/>
          <w:szCs w:val="22"/>
        </w:rPr>
        <w:t xml:space="preserve">Re-estimate half-life, lambda, and R on the first fixed-window, silent-accrual data; current values are pilot or staircase-era.</w:t>
      </w:r>
    </w:p>
    <w:p>
      <w:pPr>
        <w:pStyle w:val="ListParagraph"/>
        <w:numPr>
          <w:ilvl w:val="0"/>
          <w:numId w:val="1"/>
        </w:numPr>
        <w:spacing w:after="90" w:line="264"/>
      </w:pPr>
      <w:r>
        <w:rPr>
          <w:rFonts w:ascii="Arial" w:cs="Arial" w:eastAsia="Arial" w:hAnsi="Arial"/>
          <w:color w:val="000000"/>
          <w:sz w:val="22"/>
          <w:szCs w:val="22"/>
        </w:rPr>
        <w:t xml:space="preserve">Re-run the block_phi_recovery sweep under the silent-accrual timing to set a grounded N_max for the pre-registration extension rule.</w:t>
      </w:r>
    </w:p>
    <w:p>
      <w:pPr>
        <w:pStyle w:val="ListParagraph"/>
        <w:numPr>
          <w:ilvl w:val="0"/>
          <w:numId w:val="1"/>
        </w:numPr>
        <w:spacing w:after="90" w:line="264"/>
      </w:pPr>
      <w:r>
        <w:rPr>
          <w:rFonts w:ascii="Arial" w:cs="Arial" w:eastAsia="Arial" w:hAnsi="Arial"/>
          <w:color w:val="000000"/>
          <w:sz w:val="22"/>
          <w:szCs w:val="22"/>
        </w:rPr>
        <w:t xml:space="preserve">Run the gamma-route power at the R bracket (0.3 and 0.5) to state robustness to reliability; the R=0.4 table is done (200 datasets, grid 11).</w:t>
      </w:r>
    </w:p>
    <w:p>
      <w:pPr>
        <w:pStyle w:val="ListParagraph"/>
        <w:numPr>
          <w:ilvl w:val="0"/>
          <w:numId w:val="1"/>
        </w:numPr>
        <w:spacing w:after="90" w:line="264"/>
      </w:pPr>
      <w:r>
        <w:rPr>
          <w:rFonts w:ascii="Arial" w:cs="Arial" w:eastAsia="Arial" w:hAnsi="Arial"/>
          <w:color w:val="000000"/>
          <w:sz w:val="22"/>
          <w:szCs w:val="22"/>
        </w:rPr>
        <w:t xml:space="preserve">Reconcile the phi-interpretation note (decaying-trace plan) with the v17.2 source-removal approach.</w:t>
      </w:r>
    </w:p>
    <w:p>
      <w:pPr>
        <w:pStyle w:val="ListParagraph"/>
        <w:numPr>
          <w:ilvl w:val="0"/>
          <w:numId w:val="1"/>
        </w:numPr>
        <w:spacing w:after="90" w:line="264"/>
      </w:pPr>
      <w:r>
        <w:rPr>
          <w:rFonts w:ascii="Arial" w:cs="Arial" w:eastAsia="Arial" w:hAnsi="Arial"/>
          <w:color w:val="000000"/>
          <w:sz w:val="22"/>
          <w:szCs w:val="22"/>
        </w:rPr>
        <w:t xml:space="preserve">Check the analysis script for the stale 0.40 hit-rate floor before trusting its QC output on fixed-window data.</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2026-07-29T13:18:30.336Z</dcterms:created>
  <dcterms:modified xsi:type="dcterms:W3CDTF">2026-07-29T13:18:30.365Z</dcterms:modified>
</cp:coreProperties>
</file>

<file path=docProps/custom.xml><?xml version="1.0" encoding="utf-8"?>
<Properties xmlns="http://schemas.openxmlformats.org/officeDocument/2006/custom-properties" xmlns:vt="http://schemas.openxmlformats.org/officeDocument/2006/docPropsVTypes"/>
</file>