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sz w:val="21"/>
          <w:szCs w:val="21"/>
          <w:lang w:val="en-US" w:eastAsia="zh-CN"/>
        </w:rPr>
      </w:pPr>
      <w:r>
        <w:rPr>
          <w:rFonts w:hint="eastAsia"/>
          <w:b/>
          <w:bCs/>
          <w:sz w:val="21"/>
          <w:szCs w:val="21"/>
          <w:lang w:val="en-US" w:eastAsia="zh-CN"/>
        </w:rPr>
        <w:t>1 Graph Neural Networks for Social Recommendation</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lang w:val="en-US" w:eastAsia="zh-CN"/>
        </w:rPr>
      </w:pPr>
      <w:r>
        <w:rPr>
          <w:rFonts w:hint="default"/>
          <w:lang w:val="en-US" w:eastAsia="zh-CN"/>
        </w:rPr>
        <w:t>In recent years, Graph Neural Networks (GNNs), which can naturally integrate node information and topological structure,have been demonstrated to be powerful in learning on graph data. These advantages of GNNs provide great potential to advance social recommendation since data in social recommender systems can be represented as user-user social graph and user-item graph and learning latent factors of users and items is the key.However, building social recommender systems based on GNNs faces challenges. For example, the user-item graph encodes both interactions and their associated opinions; social relations have heterogeneous strengths; users involve in two graphs (e.g., the user-user social graph and the user-item graph). To address the three aforementioned challenges simultaneously, in this paper, we present a novel graph neural network framework (GraphRec) for social recommendations. In particular, we provide a principled approach to jointly capture interactions and opinions in the user-item graph and propose the framework GraphRec, which coherently models two graphs and heterogeneous strengths. Extensive experiments on two real-world datasets demonstrate the effectiveness of the proposed framework GraphRec.</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lang w:val="en-US" w:eastAsia="zh-CN"/>
        </w:rPr>
      </w:pPr>
      <w:r>
        <w:rPr>
          <w:rFonts w:hint="default"/>
          <w:lang w:val="en-US" w:eastAsia="zh-CN"/>
        </w:rPr>
        <w:t>近年来，能够自然整合节点信息和拓扑结构的图神经网络（GNN）已被证明在图形数据学习方面具有强大的功能。由于社交推荐系统中的数据可以表示为用户-用户-社交图和用户-项目图，学习用户和项目的潜在因素是关键，因此GNN的这些优势为推进社交推荐提供了巨大的潜力。然而，建立基于GNN的社会推荐系统面临着挑战。例如，用户项目图对交互及其相关意见进行编码；社会关系具有异质优势；用户涉及两个图（例如，用户-用户社交图和用户项目图）。为了同时解决上述三个挑战，本文提出了一种新的用于社会推荐的图神经网络框架。特别是，我们提供了一种原则性方法来联合捕获用户项目图中的交互和意见，并提出了框架GraphRec，该框架对两个图和异构强度进行了一致建模。在两个真实数据集上的大量实验证明了该框架GraphRec的有效性。</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b/>
          <w:bCs/>
          <w:sz w:val="21"/>
          <w:szCs w:val="21"/>
          <w:lang w:val="en-US" w:eastAsia="zh-CN"/>
        </w:rPr>
      </w:pPr>
      <w:r>
        <w:rPr>
          <w:rFonts w:hint="eastAsia"/>
          <w:b/>
          <w:bCs/>
          <w:sz w:val="21"/>
          <w:szCs w:val="21"/>
          <w:lang w:val="en-US" w:eastAsia="zh-CN"/>
        </w:rPr>
        <w:t>2 Empathy and well-being correlate with centrality in different social networks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lang w:val="en-US" w:eastAsia="zh-CN"/>
        </w:rPr>
      </w:pPr>
      <w:r>
        <w:rPr>
          <w:rFonts w:hint="default"/>
          <w:lang w:val="en-US" w:eastAsia="zh-CN"/>
        </w:rPr>
        <w:t>Individuals benefit from occupying central roles in social networks,but little is known about the psychological traits that predict centrality. Across four college freshman dorms (n = 193), we characterized individuals with a battery of personality questionnaires and also asked them to nominate dorm members with whom they had different types of relationships. This revealed several social networks within dorm communities with differing characteristics. In particular, additional data showed that networks varied in the degree to which nominations depend on (i) trust and (ii) shared fun and excitement. Networks more dependent upon trust were further defined by fewer connections than those more dependent on fun. Crucially, network and personality features interacted to predict individuals’ centrality: people high in well-being (i.e., life satisfaction and positive emotion) were central to networks characterized by fun, whereas people high in empathy were central to networks characterized by trust. Together, these findings provide network-based corroboration of psychological evidence that well-being is socially attractive, whereas empathy supports close relationships. More broadly, these data highlight how an individual’s personality relates to the roles that they play in sustaining their community.</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lang w:val="en-US" w:eastAsia="zh-CN"/>
        </w:rPr>
      </w:pPr>
      <w:r>
        <w:rPr>
          <w:rFonts w:hint="default"/>
          <w:lang w:val="en-US" w:eastAsia="zh-CN"/>
        </w:rPr>
        <w:t>个人受益于在社交网络中占据中心角色，但对预测中心性的心理特征知之甚少。在四个大学新生宿舍（n=193）中，我们用一系列人格问卷对个体进行了人格化，并要求他们提名与他们有不同类型关系的宿舍成员。这揭示了宿舍社区中具有不同特征的几个社交网络。特别是，其他数据表明，网络在提名依赖于（i）信任和（ii）共享乐趣和兴奋的程度上有所不同。与那些更依赖乐趣的网络相比，更依赖信任的网络通过更少的连接进一步定义。至关重要的是，网络和人格特征相互作用，预测个人的中心性：幸福感高的人（即生活满意度和积极情绪）是以娱乐为特征的网络的中心，而同理心高的人是以信任为特征的网络的中心。总之，这些发现为基于网络的心理学证据提供了佐证，即幸福感具有社会吸引力，而同理心支持亲密关系。更广泛地说，这些数据强调了个人的个性与他们在维持社区中所扮演的角色之间的关系。</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b/>
          <w:bCs/>
          <w:lang w:val="en-US" w:eastAsia="zh-CN"/>
        </w:rPr>
      </w:pPr>
      <w:r>
        <w:rPr>
          <w:rFonts w:hint="eastAsia"/>
          <w:b/>
          <w:bCs/>
          <w:lang w:val="en-US" w:eastAsia="zh-CN"/>
        </w:rPr>
        <w:t>3 Simulating dynamical features of escape panic</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One of the most disastrous forms of collective human behaviour is the kind of crowd stampede induced by panic, often leading to fatalities as people are crushed or trampled. Sometimes this behaviour is triggered in life-threatening situations such as fires in crowded buildings; at other times, stampedes can arise during the rush for seats or seemingly without cause. Although engineers are finding ways to alleviate the scale of such disasters, their frequency seems to be increasing with the number and size of mass events. But systematic studies of panic behaviour and quantitative theories capable of predicting such crowd dynamics are rare. Here we use a model of pedestrian behaviour to investigate the mechanisms of (and preconditions for) panic and jamming by uncoordinated motion in crowds. Our simulations suggest practical ways to prevent dangerous crowd pressures. Moreover, we find an optimal strategy for escape from a smoke-filled room, involving a mixture of individualistic behaviour and collective ‘herding’ instinct.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人类集体行为中最具灾难性的形式之一是由恐慌引起的人群踩踏，人们被压碎或践踏时往往会导致死亡。有时，这种行为是在危及生命的情况下触发的，例如拥挤建筑物中的火灾；在其他情况下，在抢座位或看似无缘无故的情况下，可能会发生踩踏事件。尽管工程师们正在寻找减轻此类灾害规模的方法，但其频率似乎随着大规模事件的数量和规模而增加。但对恐慌行为的系统研究和能够预测此类人群动态的定量理论却很少。在这里，我们使用行人行为模型来研究人群中不协调运动引起恐慌和干扰的机制（以及前提条件）。我们的模拟提出了预防危险人群压力的实用方法。此外，我们发现了一种从烟雾弥漫的房间逃生的最佳策略，包括个人主义行为和集体“羊群”本能的混合。</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bCs/>
          <w:lang w:val="en-US" w:eastAsia="zh-CN"/>
        </w:rPr>
      </w:pPr>
      <w:r>
        <w:rPr>
          <w:rFonts w:hint="eastAsia"/>
          <w:b/>
          <w:bCs/>
          <w:lang w:val="en-US" w:eastAsia="zh-CN"/>
        </w:rPr>
        <w:t xml:space="preserve">4 </w:t>
      </w:r>
      <w:r>
        <w:rPr>
          <w:rFonts w:hint="default"/>
          <w:b/>
          <w:bCs/>
          <w:lang w:val="en-US" w:eastAsia="zh-CN"/>
        </w:rPr>
        <w:t>Bilateral Collaboration and the Emergence of</w:t>
      </w:r>
      <w:r>
        <w:rPr>
          <w:rFonts w:hint="eastAsia"/>
          <w:b/>
          <w:bCs/>
          <w:lang w:val="en-US" w:eastAsia="zh-CN"/>
        </w:rPr>
        <w:t xml:space="preserve"> </w:t>
      </w:r>
      <w:r>
        <w:rPr>
          <w:rFonts w:hint="default"/>
          <w:b/>
          <w:bCs/>
          <w:lang w:val="en-US" w:eastAsia="zh-CN"/>
        </w:rPr>
        <w:t>Innovation Networks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In this paper, we model the formation of innovation networks as they emerge from bilateral decisions. In contrast to much of the literature, here firms only consider knowledge production, and not network issues,when deciding on partners. Thus, we focus attention on the effects of the knowledge and information regime on network formation. The effectiveness of a bilateral collaboration is determined by cognitive, relational, and structural embeddedness. Innovation results from the recombination of knowledge held by the partners to the collaboration, and its success is determined in part by the extent to which firms’ knowledge complement each other. Previous collaborations (relational embeddedness) increase the probability of a successful collaboration,as does information gained from common third parties (structural embeddedness). Repeated alliance formation creates a network. Two features are central to the innovation process: how firms pool their knowledge resources,and how firms derive information about potential partners. When innovation is decomposable into separate subtasks, networks tend to be dense when structural embeddedness is important, networks become cliquish.For some regions in this parameter space, small worlds emerge.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在本文中，我们对双边决策产生的创新网络的形成进行了建模。与许多文献不同，这里的公司在决定合作伙伴时只考虑知识生产，而不考虑网络问题。因此，我们关注知识和信息制度对网络形成的影响。双边合作的有效性取决于认知、关系和结构嵌入。创新源于合作伙伴持有的知识与合作的重组，创新的成功部分取决于企业知识的互补程度。以前的协作（关系嵌入）增加了成功协作的概率，从公共第三方获得的信息（结构嵌入）也增加了成功协作的概率。重复的联盟形成了一个网络。创新过程的两个核心特征是：企业如何汇集其知识资源，以及企业如何获得有关潜在合作伙伴的信息。当创新可分解为单独的子任务时，当结构嵌入性很重要时，网络趋于密集，网络成为小集团。对于该参数空间中的某些区域，会出现小世界。</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b/>
          <w:bCs/>
          <w:lang w:val="en-US" w:eastAsia="zh-CN"/>
        </w:rPr>
      </w:pPr>
      <w:r>
        <w:rPr>
          <w:rFonts w:hint="eastAsia"/>
          <w:b/>
          <w:bCs/>
          <w:lang w:val="en-US" w:eastAsia="zh-CN"/>
        </w:rPr>
        <w:t>5 Fragile Online Relationship: A First Look at Unfollow Dynamics in Twitter</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We analyze the dynamics of the behavior known as ‘unfollow’ in Twitter. We collected daily snapshots of the online relationships of 1.2 million Korean-speaking users forb51 days as well as all of their tweets. We found that Twitter users frequently unfollow. We then discover the major factors, including the reciprocity of the relationships, the duration of a relationship, the followees’ informativeness,and the overlap of the relationships, which affect the decision to unfollow. We conduct interview with 22 Korean respondents to supplement the quantitative results. They unfollowed those who left many tweets within a short time,created tweets about uninteresting topics, or tweeted about the mundane details of their lives. To the best of our knowledge, this work is the first systematic study of the unfollow behavior in Twitter.</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我们分析了推特中被称为“unfollow”的行为的动力学。我们收集了120万韩语用户在51天内的每日在线关系快照以及他们的所有推文。我们发现推特用户经常不关注。然后，我们发现了影响撤销决定的主要因素，包括关系的相互性、关系的持续时间、跟随者的信息量和关系的重叠。我们对22名韩国受访者进行了访谈，以补充定量结果。他们不理会那些在短时间内留下许多推特、创建关于无趣话题的推特或推特关于他们生活中平凡细节的人。据我们所知，这项工作是第一次系统研究推特中的不随从行为。</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b/>
          <w:bCs/>
          <w:lang w:val="en-US" w:eastAsia="zh-CN"/>
        </w:rPr>
      </w:pPr>
      <w:r>
        <w:rPr>
          <w:rFonts w:hint="eastAsia"/>
          <w:b/>
          <w:bCs/>
          <w:lang w:val="en-US" w:eastAsia="zh-CN"/>
        </w:rPr>
        <w:t>6 Measuring User Influence in Twitter: The Million Follower Fallacy</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Directed links in social media could represent anything from intimate friendships to common interests, or even a passion for breaking news or celebrity gossip. Such directed links determine the flow of information and hence indicate a user’s influence on others—a concept that is crucial in sociology and viral marketing. In this paper, using a large amount of data collected from Twitter, we present an in-depth comparison of three measures of influence: indegree, retweets, and mentions.Based on these measures, we investigate the dynamics of user influence across topics and time. We make several interesting observations. First, popular users who have high indegree are not necessarily influential in terms of spawning retweets or mentions. Second,most influential users can hold significant influence over a variety of topics. Third, influence is not gained spon</w:t>
      </w:r>
      <w:r>
        <w:rPr>
          <w:rFonts w:hint="default"/>
          <w:b w:val="0"/>
          <w:bCs w:val="0"/>
          <w:lang w:val="en-US" w:eastAsia="zh-CN"/>
        </w:rPr>
        <w:t/>
      </w:r>
      <w:r>
        <w:rPr>
          <w:rFonts w:hint="default"/>
          <w:b w:val="0"/>
          <w:bCs w:val="0"/>
          <w:lang w:val="en-US" w:eastAsia="zh-CN"/>
        </w:rPr>
        <w:t>taneously or accidentally, but through concerted effort such as limiting tweets to a single topic. We believe that these findings provide new insights for viral marketing and suggest that topological measures such as indegree alone reveals very little about the influence of a user.</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社交媒体中的定向链接可以代表从亲密友谊到共同兴趣，甚至是对突发新闻或名人八卦的热情。这种定向链接决定了信息流，因此表明了用户对他人的影响——这一概念在社会学和病毒式营销中至关重要。在本文中，我们使用从推特收集的大量数据，深入比较了三种影响力指标：索引、转发和提及。基于这些度量，我们研究了用户在主题和时间上的影响动态。我们做了几个有趣的观察。首先，拥有高索引的热门用户在产生转发或提及方面不一定有影响力。第二，最有影响力的用户可以对各种主题产生重大影响。第三，影响力不是自发或偶然获得的，而是通过协同努力获得的，例如将推特限制在单个主题上。我们认为，这些发现为病毒式营销提供了新的见解，并表明拓扑度量（如indegree）本身很少揭示用户的影响。</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b/>
          <w:bCs/>
          <w:lang w:val="en-US" w:eastAsia="zh-CN"/>
        </w:rPr>
      </w:pPr>
      <w:r>
        <w:rPr>
          <w:rFonts w:hint="eastAsia"/>
          <w:b/>
          <w:bCs/>
          <w:lang w:val="en-US" w:eastAsia="zh-CN"/>
        </w:rPr>
        <w:t>7 Assessing the risks of‘infodemics’in response to COVID-19 epidemics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During COVID-19, governments and the public are fighting not only a pandemic but also a co-evolving infodemic—the rapid and far-reaching spread of information of questionable quality. We analysed more than 100 million Twitter messages posted worldwide during the early stages of epidemic spread across countries (from 22 January to 10 March 2020) and classified the reliability of the news being circulated. We developed an Infodemic Risk Index to capture the magnitude of exposure to unreliable news across countries. We found that measurable waves of potentially unreliable information preceded the rise of COVID-19 infections, exposing entire countries to falsehoods that pose a serious threat to public health. As infections started to rise, reliable information quickly became more dominant, and Twitter content shifted towards more credible informational sources. Infodemic early-warning signals provide important cues for misinformation mitigation by means of adequate communication strategies.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在2019冠状病毒疾病期间，政府和公众不仅在抗击大流行，而且在抗击共同演变的信息传播，即质量可疑的信息的快速和深远传播。我们分析了疫情在各国传播的早期阶段（2020年1月22日至3月10日），在全球范围内发布的一亿多条推特消息，并对正在传播的新闻的可靠性进行了分类。我们开发了一个信息风险指数，以捕捉各国对不可靠新闻的暴露程度。我们发现，在2019冠状病毒疾病感染上升之前，可测量的潜在不可靠信息浪潮使整个国家暴露在对公众健康构成严重威胁的虚假信息中。随着感染率开始上升，可靠的信息很快变得更占主导地位，Twitter内容也转向了更可靠的信息来源。信息预警信号通过适当的沟通策略为减少错误信息提供了重要线索。</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b/>
          <w:bCs/>
          <w:lang w:val="en-US" w:eastAsia="zh-CN"/>
        </w:rPr>
      </w:pPr>
      <w:r>
        <w:rPr>
          <w:rFonts w:hint="eastAsia"/>
          <w:b/>
          <w:bCs/>
          <w:lang w:val="en-US" w:eastAsia="zh-CN"/>
        </w:rPr>
        <w:t>8 Network Dynamics: How Can We Find Patients Like Us?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Social networks have been shown to affect health. Because online social networking makes it easier for individuals to interact with experientially similar others in regard to health issues and to exchange social support,there has been an increasing effort to understand how networks function. Nevertheless, little attention has been paid to how these networks are formed. In this paper, we examine the driving forces behind patients’ social network formation and evolution. We argue that patients’ health-related traits influence their social connections and that the patients’ network layout is shaped by their cognitive capabilities and their network embeddedness. By studying longitudinal data from 1,322 individuals and their communication ties in an online healthcare social network, we find that firsthand disease experience, which provides knowledge of the disease, increases the probability that patients will find experientially similar others and establish communication ties. Patients’ cognitive abilities, including the information load that they can process and the range of social ties that they can manage, however, limit their network growth. In addition, we find that patients’ efforts to reach out for additional social resources are associated with their embeddedness in the network and the cost of maintaining connections. Practical implications of our findings are discussed.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社交网络已被证明会影响健康。由于在线社交网络使个人更容易与经验相似的其他人就健康问题进行互动并交换社会支持，因此人们越来越努力了解网络的功能。然而，人们很少关注这些网络是如何形成的。在本文中，我们研究了患者社会网络形成和演变背后的驱动力。我们认为，患者的健康相关特征会影响他们的社会关系，患者的网络布局受其认知能力和网络嵌入性的影响。通过研究1322名个体的纵向数据及其在在线医疗社会网络中的沟通关系，我们发现，提供疾病知识的第一手疾病体验增加了患者找到经验相似的其他人并建立沟通关系的可能性。然而，患者的认知能力，包括他们可以处理的信息负载和他们可以管理的社会关系范围，限制了他们的网络增长。此外，我们发现患者寻求额外社会资源的努力与他们在网络中的嵌入性和维持联系的成本有关。我们的研究结果的实际意义进行了讨论。</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b/>
          <w:bCs/>
          <w:lang w:val="en-US" w:eastAsia="zh-CN"/>
        </w:rPr>
      </w:pPr>
      <w:r>
        <w:rPr>
          <w:rFonts w:hint="eastAsia"/>
          <w:b/>
          <w:bCs/>
          <w:lang w:val="en-US" w:eastAsia="zh-CN"/>
        </w:rPr>
        <w:t>9 Early Predictions of Movie Success: The Who, What, and When of Profitability</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We focus on predicting the profitability of a movie to support movie investment decisions at early stages of film production. By leveraging data from various sources, and using social network analysis and text mining techniques, the proposed system extracts several types of features, including “who” is in the cast,“what” a movie is about, “when” a movie will be released, as well as “hybrid”features. Experiment results showed that the system outperforms benchmark methods by a large margin. Novel features we proposed made weighty contributions to the prediction. In addition to designing a decision support system with practical utility, we also analyzed key factors of movie profitability. Furthermore, we demonstrated the prescriptive value of our system by illustrating how it can be used torecommend a set of profit-maximizing cast members. This research highlights the power of predictive and prescriptive data analytics in information systems to aid business decisions.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我们专注于预测电影的盈利能力，以支持电影制作早期的电影投资决策。通过利用来自各种来源的数据，并使用社交网络分析和文本挖掘技术，该系统提取了几种类型的特征，包括演员阵容中的“谁”、“电影是关于什么的”、“电影将在何时发布”以及“混合”特征。实验结果表明，该系统的性能大大优于基准方法。我们提出的新特征对预测做出了重大贡献。除了设计一个实用的决策支持系统外，我们还分析了电影盈利的关键因素。此外，通过说明如何使用该系统推荐一组利润最大化的演员阵容，我们展示了该系统的规定价值。这项研究强调了信息系统中预测性和规范性数据分析的力量，以帮助业务决策。</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b w:val="0"/>
          <w:bCs w:val="0"/>
          <w:lang w:val="en-US" w:eastAsia="zh-CN"/>
        </w:rPr>
      </w:pPr>
      <w:r>
        <w:rPr>
          <w:rFonts w:hint="eastAsia"/>
          <w:b/>
          <w:bCs/>
          <w:lang w:val="en-US" w:eastAsia="zh-CN"/>
        </w:rPr>
        <w:t>10 ON THE ROLE OF FAIRNESS AND SOCIAL DISTANCE IN DESIGNING EFFECTIVE SOCIAL REFERRAL SYSTEMS</w:t>
      </w:r>
      <w:r>
        <w:rPr>
          <w:rFonts w:hint="eastAsia"/>
          <w:b/>
          <w:bCs/>
          <w:lang w:val="en-US" w:eastAsia="zh-CN"/>
        </w:rPr>
        <w:br w:type="textWrapping"/>
      </w:r>
      <w:r>
        <w:rPr>
          <w:rFonts w:hint="eastAsia"/>
          <w:b w:val="0"/>
          <w:bCs w:val="0"/>
          <w:lang w:val="en-US" w:eastAsia="zh-CN"/>
        </w:rPr>
        <w:t>Online referral systems help firms attract new customers and expand their customer base by leveraging the social relationships of existing customers. We integrate ultimatum game theory, which focuses on fairness, with motivation theories to investigate the effects of social distance and monetary incentives on the performance of three competing designs for online referral systems: rewarding only or primarily the proposer, rewarding only or primarily the responder, and dividing the reward equally or fairly between the proposer and responder. A set of controlled laboratory and randomized field experiments were conducted to test how the fairness of the split of the reward (equal/fair versus unequal/unfair split of the referral bonus) and social distance (small versus large) between the proposer and the responder jointly affect the performance of online referral systems(the proposer sending an offer and the responder accepting the offer). For a large social distance (acquain</w:t>
      </w:r>
      <w:r>
        <w:rPr>
          <w:rFonts w:hint="eastAsia"/>
          <w:b w:val="0"/>
          <w:bCs w:val="0"/>
          <w:lang w:val="en-US" w:eastAsia="zh-CN"/>
        </w:rPr>
        <w:t/>
      </w:r>
      <w:r>
        <w:rPr>
          <w:rFonts w:hint="eastAsia"/>
          <w:b w:val="0"/>
          <w:bCs w:val="0"/>
          <w:lang w:val="en-US" w:eastAsia="zh-CN"/>
        </w:rPr>
        <w:t>tances or weak tie relationships), equally splitting the referral bonus results in the best performance. However,for a small social distance (friends or strong tie relationships), an equal split of the referral reward does not improve referral performance, which suggests that under a small social distance, monetary incentives may not work effectively. Face validity and external validity (generalizability) are ensured using two distinct measures of social distance across several contexts. Through the analysis of the interaction effects of fairness and social distance, our research offers theoretical and practical implications for social commerce by showing that the effectiveness of fairness on the success of online social referrals largely depends on social distance.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在线推荐系统通过利用现有客户的社会关系，帮助公司吸引新客户并扩大其客户群。我们将关注公平的最后通牒博弈论与激励理论相结合，研究社会距离和金钱激励对在线推荐系统三种竞争设计的性能的影响：仅奖励或主要奖励提议者，仅奖励或主要奖励响应者，以及在提议者和响应者之间公平或公平地分配奖励。进行了一组受控实验室和随机现场实验，以测试奖励分配的公平性（相等/公平与不相等/不公平的推荐奖金分配）以及提议者和响应者之间的社会距离（小与大）如何共同影响在线推荐系统的性能（提议者发送要约和响应者接受要约）. 对于较大的社交距离（亲密关系或弱关系），平均分配推荐奖金可获得最佳表现。然而，对于较小的社交距离（朋友或牢固的关系），平均分配推荐奖励并不能提高推荐绩效，这表明在较小的社交距离下，金钱激励可能无法有效发挥作用。通过在多个语境中使用两种不同的社会距离度量来确保面子有效性和外部有效性（普遍性）。通过分析公平和社会距离的交互作用，我们的研究表明，公平对在线社会推荐成功的有效性在很大程度上取决于社会距离，从而为社会商务提供了理论和实践启示。</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b/>
          <w:bCs/>
          <w:lang w:val="en-US" w:eastAsia="zh-CN"/>
        </w:rPr>
      </w:pPr>
      <w:r>
        <w:rPr>
          <w:rFonts w:hint="eastAsia"/>
          <w:b/>
          <w:bCs/>
          <w:lang w:val="en-US" w:eastAsia="zh-CN"/>
        </w:rPr>
        <w:t>11 Quantifying social group evolution</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The rich set of interactions between individuals in society1–7results in complex community structure, capturing highly connected circles of friends, families or professional cliques in a social network3,7–10. Thanks to frequent changes in the activity and communication patterns of individuals, the associated social and communication network is subject to constant evolution7,11–16. Our knowledge of the mechanisms governing the underlying community dynamics is limited, but is essential for a deeper understanding of the development and self-optimization of society as a whole17–22.We have developed an algorithm based on clique percolation23,24that allows us to investigate the time dependence of overlapping communities on a large scale, and thus uncover basic relationships characterizing community evolution. Our focus is on networks capturing the collaboration between scientists and the calls between mobile phone users. We find that large groups persist for longer if they are capable of dynamically altering their membership, suggesting that an ability to change the group composition results in better adaptability. The behaviour of small groups displays the opposite tendency—the condition for stability is that their composition remains unchanged. We also show that knowledge of the time commitment of members to a given community can be used for estimating the community’s lifetime. These findings offer insight into the fundamental differences between the dynamics of small groups and large institutions.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b w:val="0"/>
          <w:bCs w:val="0"/>
          <w:lang w:val="en-US" w:eastAsia="zh-CN"/>
        </w:rPr>
      </w:pPr>
      <w:r>
        <w:rPr>
          <w:rFonts w:hint="default"/>
          <w:b w:val="0"/>
          <w:bCs w:val="0"/>
          <w:lang w:val="en-US" w:eastAsia="zh-CN"/>
        </w:rPr>
        <w:t>社会中个人之间丰富的互动1-7导致了复杂的社区结构，在社交网络中捕捉到高度连接的朋友圈、家人或专业团体3,7-10。由于个人活动和通信模式的频繁变化，相关的社会和通信网络不断进化7,11-16。我们对控制潜在社区动态的机制的了解有限，但对于更深入地理解整个社会的发展和自我优化17-22至关重要。我们开发了一种基于派系渗透23,24的算法，该算法允许我们大规模调查重叠社区的时间依赖性，从而揭示表征社区进化的基本关系。我们的重点是网络捕捉科学家之间的合作和手机用户之间的通话。我们发现，如果大群体能够动态地改变其成员身份，则其持续时间更长，这表</w:t>
      </w:r>
      <w:bookmarkStart w:id="0" w:name="_GoBack"/>
      <w:bookmarkEnd w:id="0"/>
      <w:r>
        <w:rPr>
          <w:rFonts w:hint="default"/>
          <w:b w:val="0"/>
          <w:bCs w:val="0"/>
          <w:lang w:val="en-US" w:eastAsia="zh-CN"/>
        </w:rPr>
        <w:t>明改变群体组成的能力会产生更好的适应性。小群体的行为表现出相反的趋势。稳定的条件是其组成保持不变。我们还表明，关于成员对给定社区的时间承诺的知识可以用于估计社区的寿命。这些发现揭示了小团体和大机构动态之间的根本差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nBiolinumT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dvOT24c3cae3 . B">
    <w:altName w:val="Segoe Print"/>
    <w:panose1 w:val="00000000000000000000"/>
    <w:charset w:val="00"/>
    <w:family w:val="auto"/>
    <w:pitch w:val="default"/>
    <w:sig w:usb0="00000000" w:usb1="00000000" w:usb2="00000000" w:usb3="00000000" w:csb0="00000000" w:csb1="00000000"/>
  </w:font>
  <w:font w:name="AdvOT6c1def61 . B">
    <w:altName w:val="Segoe Print"/>
    <w:panose1 w:val="00000000000000000000"/>
    <w:charset w:val="00"/>
    <w:family w:val="auto"/>
    <w:pitch w:val="default"/>
    <w:sig w:usb0="00000000" w:usb1="00000000" w:usb2="00000000" w:usb3="00000000" w:csb0="00000000" w:csb1="00000000"/>
  </w:font>
  <w:font w:name="AdvOT1a8a9c4a . BI">
    <w:altName w:val="Segoe Print"/>
    <w:panose1 w:val="00000000000000000000"/>
    <w:charset w:val="00"/>
    <w:family w:val="auto"/>
    <w:pitch w:val="default"/>
    <w:sig w:usb0="00000000" w:usb1="00000000" w:usb2="00000000" w:usb3="00000000" w:csb0="00000000" w:csb1="00000000"/>
  </w:font>
  <w:font w:name="AdvOT8b40f9c2 . B">
    <w:altName w:val="Segoe Print"/>
    <w:panose1 w:val="00000000000000000000"/>
    <w:charset w:val="00"/>
    <w:family w:val="auto"/>
    <w:pitch w:val="default"/>
    <w:sig w:usb0="00000000" w:usb1="00000000" w:usb2="00000000" w:usb3="00000000" w:csb0="00000000" w:csb1="00000000"/>
  </w:font>
  <w:font w:name="AdvOT6c1def61 . B + 20">
    <w:altName w:val="Segoe Print"/>
    <w:panose1 w:val="00000000000000000000"/>
    <w:charset w:val="00"/>
    <w:family w:val="auto"/>
    <w:pitch w:val="default"/>
    <w:sig w:usb0="00000000" w:usb1="00000000" w:usb2="00000000" w:usb3="00000000" w:csb0="00000000" w:csb1="00000000"/>
  </w:font>
  <w:font w:name="AdvPS81CF">
    <w:altName w:val="Segoe Print"/>
    <w:panose1 w:val="00000000000000000000"/>
    <w:charset w:val="00"/>
    <w:family w:val="auto"/>
    <w:pitch w:val="default"/>
    <w:sig w:usb0="00000000" w:usb1="00000000" w:usb2="00000000" w:usb3="00000000" w:csb0="00000000" w:csb1="00000000"/>
  </w:font>
  <w:font w:name="AdvPS9488">
    <w:altName w:val="Segoe Print"/>
    <w:panose1 w:val="00000000000000000000"/>
    <w:charset w:val="00"/>
    <w:family w:val="auto"/>
    <w:pitch w:val="default"/>
    <w:sig w:usb0="00000000" w:usb1="00000000" w:usb2="00000000" w:usb3="00000000" w:csb0="00000000" w:csb1="00000000"/>
  </w:font>
  <w:font w:name="y7por">
    <w:altName w:val="Segoe Print"/>
    <w:panose1 w:val="00000000000000000000"/>
    <w:charset w:val="00"/>
    <w:family w:val="auto"/>
    <w:pitch w:val="default"/>
    <w:sig w:usb0="00000000" w:usb1="00000000" w:usb2="00000000" w:usb3="00000000" w:csb0="00000000" w:csb1="00000000"/>
  </w:font>
  <w:font w:name="NimbusSanL-Bold">
    <w:altName w:val="Segoe Print"/>
    <w:panose1 w:val="00000000000000000000"/>
    <w:charset w:val="00"/>
    <w:family w:val="auto"/>
    <w:pitch w:val="default"/>
    <w:sig w:usb0="00000000" w:usb1="00000000" w:usb2="00000000" w:usb3="00000000" w:csb0="00000000" w:csb1="00000000"/>
  </w:font>
  <w:font w:name="NimbusRomNo9L-Medi">
    <w:altName w:val="Segoe Print"/>
    <w:panose1 w:val="00000000000000000000"/>
    <w:charset w:val="00"/>
    <w:family w:val="auto"/>
    <w:pitch w:val="default"/>
    <w:sig w:usb0="00000000" w:usb1="00000000" w:usb2="00000000" w:usb3="00000000" w:csb0="00000000" w:csb1="00000000"/>
  </w:font>
  <w:font w:name="Whitney-Semibold">
    <w:altName w:val="Segoe Print"/>
    <w:panose1 w:val="00000000000000000000"/>
    <w:charset w:val="00"/>
    <w:family w:val="auto"/>
    <w:pitch w:val="default"/>
    <w:sig w:usb0="00000000" w:usb1="00000000" w:usb2="00000000" w:usb3="00000000" w:csb0="00000000" w:csb1="00000000"/>
  </w:font>
  <w:font w:name="TrebuchetMS-Bold">
    <w:altName w:val="Segoe Print"/>
    <w:panose1 w:val="00000000000000000000"/>
    <w:charset w:val="00"/>
    <w:family w:val="auto"/>
    <w:pitch w:val="default"/>
    <w:sig w:usb0="00000000" w:usb1="00000000" w:usb2="00000000" w:usb3="00000000" w:csb0="00000000" w:csb1="00000000"/>
  </w:font>
  <w:font w:name="AdvOTde601fb8 . B">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AdvP4DD239">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403BF8"/>
    <w:rsid w:val="07F11625"/>
    <w:rsid w:val="0DB461AA"/>
    <w:rsid w:val="112076B2"/>
    <w:rsid w:val="15CF5678"/>
    <w:rsid w:val="1A950B1B"/>
    <w:rsid w:val="45E82F3C"/>
    <w:rsid w:val="5C1D239A"/>
    <w:rsid w:val="5D403BF8"/>
    <w:rsid w:val="62E573E1"/>
    <w:rsid w:val="644C56E6"/>
    <w:rsid w:val="77113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63</TotalTime>
  <ScaleCrop>false</ScaleCrop>
  <LinksUpToDate>false</LinksUpToDate>
  <CharactersWithSpaces>0</CharactersWithSpaces>
  <Application>WPS Office_11.1.0.11579_F1E327BC-269C-435d-A152-05C5408002CA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2022-07-05T09:12:00Z</dcterms:created>
  <dc:creator>鳞</dc:creator>
  <cp:lastModifiedBy>鳞</cp:lastModifiedBy>
  <dcterms:modified xsi:type="dcterms:W3CDTF">2022-07-05T10:16:44Z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2052-11.1.0.11579</vt:lpwstr>
  </property>
  <property fmtid="{D5CDD505-2E9C-101B-9397-08002B2CF9AE}" pid="3" name="ICV">
    <vt:lpwstr>86B978FCC156463082EEDA3C17783506</vt:lpwstr>
  </property>
</Properties>
</file>