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0439E" w14:textId="77777777" w:rsidR="003C5491" w:rsidRDefault="00000000">
      <w:pPr>
        <w:spacing w:after="40"/>
      </w:pPr>
      <w:r>
        <w:rPr>
          <w:b/>
          <w:bCs/>
          <w:color w:val="1F4E79"/>
          <w:sz w:val="44"/>
          <w:szCs w:val="44"/>
        </w:rPr>
        <w:t>Top 3% AWS DevOps Engineer</w:t>
      </w:r>
    </w:p>
    <w:p w14:paraId="0490439F" w14:textId="77777777" w:rsidR="003C5491" w:rsidRDefault="00000000">
      <w:pPr>
        <w:spacing w:after="120"/>
      </w:pPr>
      <w:r>
        <w:rPr>
          <w:color w:val="555555"/>
          <w:sz w:val="26"/>
          <w:szCs w:val="26"/>
        </w:rPr>
        <w:t>A remote, hard-currency portfolio strategy</w:t>
      </w:r>
    </w:p>
    <w:p w14:paraId="049043A0" w14:textId="77777777" w:rsidR="003C5491" w:rsidRDefault="00000000">
      <w:pPr>
        <w:tabs>
          <w:tab w:val="right" w:pos="9360"/>
        </w:tabs>
        <w:spacing w:after="60"/>
      </w:pPr>
      <w:r>
        <w:rPr>
          <w:color w:val="555555"/>
          <w:sz w:val="20"/>
          <w:szCs w:val="20"/>
        </w:rPr>
        <w:t xml:space="preserve">Prepared for </w:t>
      </w:r>
      <w:proofErr w:type="gramStart"/>
      <w:r>
        <w:rPr>
          <w:color w:val="555555"/>
          <w:sz w:val="20"/>
          <w:szCs w:val="20"/>
        </w:rPr>
        <w:t>Burhaan  ·</w:t>
      </w:r>
      <w:proofErr w:type="gramEnd"/>
      <w:r>
        <w:rPr>
          <w:color w:val="555555"/>
          <w:sz w:val="20"/>
          <w:szCs w:val="20"/>
        </w:rPr>
        <w:t xml:space="preserve">  Cape Town</w:t>
      </w:r>
      <w:r>
        <w:rPr>
          <w:color w:val="555555"/>
          <w:sz w:val="20"/>
          <w:szCs w:val="20"/>
        </w:rPr>
        <w:tab/>
        <w:t>June 2026</w:t>
      </w:r>
    </w:p>
    <w:p w14:paraId="049043A1" w14:textId="77777777" w:rsidR="003C5491" w:rsidRDefault="003C5491">
      <w:pPr>
        <w:pBdr>
          <w:bottom w:val="single" w:sz="6" w:space="1" w:color="1F4E79"/>
        </w:pBdr>
        <w:spacing w:before="40" w:after="160"/>
      </w:pPr>
    </w:p>
    <w:p w14:paraId="049043A2" w14:textId="77777777" w:rsidR="003C5491" w:rsidRDefault="00000000">
      <w:pPr>
        <w:pStyle w:val="Heading1"/>
      </w:pPr>
      <w:r>
        <w:t>The objective</w:t>
      </w:r>
    </w:p>
    <w:p w14:paraId="049043A3" w14:textId="77777777" w:rsidR="003C5491" w:rsidRDefault="00000000">
      <w:pPr>
        <w:spacing w:after="120" w:line="276" w:lineRule="auto"/>
      </w:pPr>
      <w:r>
        <w:t xml:space="preserve">Everything here is anchored to a single goal: working remotely from Cape Town in a DevOps / </w:t>
      </w:r>
      <w:proofErr w:type="spellStart"/>
      <w:r>
        <w:t>DevSecOps</w:t>
      </w:r>
      <w:proofErr w:type="spellEnd"/>
      <w:r>
        <w:t xml:space="preserve"> role paid in USD, EUR, or GBP — earning hard currency on a rand cost base. That reframes “top 3%” from a local benchmark to a global one, because the role is being judged against remote talent in Eastern Europe, Latin America, India, and beyond. The bar rises accordingly, and the strategy below is built to clear it.</w:t>
      </w:r>
    </w:p>
    <w:p w14:paraId="049043A4" w14:textId="77777777" w:rsidR="003C5491" w:rsidRDefault="00000000">
      <w:pPr>
        <w:pStyle w:val="Heading1"/>
      </w:pPr>
      <w:r>
        <w:t>Strategy summary</w:t>
      </w:r>
    </w:p>
    <w:p w14:paraId="049043A5" w14:textId="77777777" w:rsidR="003C5491" w:rsidRDefault="00000000">
      <w:pPr>
        <w:spacing w:after="140" w:line="276" w:lineRule="auto"/>
      </w:pPr>
      <w:r>
        <w:rPr>
          <w:b/>
          <w:bCs/>
        </w:rPr>
        <w:t xml:space="preserve">Proof of work is your trust bridge. </w:t>
      </w:r>
      <w:r>
        <w:t xml:space="preserve">A remote employer who cannot watch you work hires on overwhelming, public, verifiable evidence. The written artefacts — READMEs that explain why, postmortems, architecture decision records, runbooks — are not just skill signals; they are a direct proxy for “can operate asynchronously without </w:t>
      </w:r>
      <w:proofErr w:type="gramStart"/>
      <w:r>
        <w:t>hand-holding</w:t>
      </w:r>
      <w:proofErr w:type="gramEnd"/>
      <w:r>
        <w:t>,” which distributed teams screen for hardest. Six years of AWS enterprise support has already trained that written-communication muscle.</w:t>
      </w:r>
    </w:p>
    <w:p w14:paraId="049043A6" w14:textId="77777777" w:rsidR="003C5491" w:rsidRDefault="00000000">
      <w:pPr>
        <w:spacing w:after="140" w:line="276" w:lineRule="auto"/>
      </w:pPr>
      <w:r>
        <w:rPr>
          <w:b/>
          <w:bCs/>
        </w:rPr>
        <w:t xml:space="preserve">Specialise into </w:t>
      </w:r>
      <w:proofErr w:type="spellStart"/>
      <w:r>
        <w:rPr>
          <w:b/>
          <w:bCs/>
        </w:rPr>
        <w:t>DevSecOps</w:t>
      </w:r>
      <w:proofErr w:type="spellEnd"/>
      <w:r>
        <w:rPr>
          <w:b/>
          <w:bCs/>
        </w:rPr>
        <w:t xml:space="preserve">. </w:t>
      </w:r>
      <w:r>
        <w:t xml:space="preserve">“DevOps engineer” competes against thousands; “AWS </w:t>
      </w:r>
      <w:proofErr w:type="spellStart"/>
      <w:r>
        <w:t>DevSecOps</w:t>
      </w:r>
      <w:proofErr w:type="spellEnd"/>
      <w:r>
        <w:t xml:space="preserve"> engineer” competes against dozens and pays more. You already hold the security piece most of that pool lacks — make it the spine of the portfolio, not one item among many.</w:t>
      </w:r>
    </w:p>
    <w:p w14:paraId="049043A7" w14:textId="77777777" w:rsidR="003C5491" w:rsidRDefault="00000000">
      <w:pPr>
        <w:spacing w:after="140" w:line="276" w:lineRule="auto"/>
      </w:pPr>
      <w:r>
        <w:rPr>
          <w:b/>
          <w:bCs/>
        </w:rPr>
        <w:t xml:space="preserve">Position by time zone. </w:t>
      </w:r>
      <w:r>
        <w:t>EU and UK roles are the easiest win: Cape Town overlaps the European working day almost entirely. US roles pay the most but mean evening hours. Pre-empt the load-shedding / reliability objection by stating your UPS, fibre, and mobile-data failover setup upfront.</w:t>
      </w:r>
    </w:p>
    <w:p w14:paraId="049043A8" w14:textId="77777777" w:rsidR="003C5491" w:rsidRDefault="00000000">
      <w:pPr>
        <w:spacing w:after="140" w:line="276" w:lineRule="auto"/>
      </w:pPr>
      <w:r>
        <w:rPr>
          <w:b/>
          <w:bCs/>
        </w:rPr>
        <w:t xml:space="preserve">Know how you get paid. </w:t>
      </w:r>
      <w:r>
        <w:t>Roles live on Crossover, Remote Rocketship, Working Nomads, We Work Remotely, and LinkedIn. Payment runs through one of two structures: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3C5491" w14:paraId="049043AC"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9043A9" w14:textId="77777777" w:rsidR="003C5491" w:rsidRDefault="00000000">
            <w:r>
              <w:rPr>
                <w:b/>
                <w:bCs/>
                <w:color w:val="FFFFFF"/>
                <w:sz w:val="20"/>
                <w:szCs w:val="20"/>
              </w:rPr>
              <w:t>Aspect</w:t>
            </w:r>
          </w:p>
        </w:tc>
        <w:tc>
          <w:tcPr>
            <w:tcW w:w="37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9043AA" w14:textId="77777777" w:rsidR="003C5491" w:rsidRDefault="00000000">
            <w:r>
              <w:rPr>
                <w:b/>
                <w:bCs/>
                <w:color w:val="FFFFFF"/>
                <w:sz w:val="20"/>
                <w:szCs w:val="20"/>
              </w:rPr>
              <w:t>Employer of Record</w:t>
            </w:r>
          </w:p>
        </w:tc>
        <w:tc>
          <w:tcPr>
            <w:tcW w:w="37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9043AB" w14:textId="77777777" w:rsidR="003C5491" w:rsidRDefault="00000000">
            <w:r>
              <w:rPr>
                <w:b/>
                <w:bCs/>
                <w:color w:val="FFFFFF"/>
                <w:sz w:val="20"/>
                <w:szCs w:val="20"/>
              </w:rPr>
              <w:t>Independent contractor</w:t>
            </w:r>
          </w:p>
        </w:tc>
      </w:tr>
      <w:tr w:rsidR="003C5491" w14:paraId="049043B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49043AD" w14:textId="77777777" w:rsidR="003C5491" w:rsidRDefault="00000000">
            <w:pPr>
              <w:spacing w:line="264" w:lineRule="auto"/>
            </w:pPr>
            <w:r>
              <w:rPr>
                <w:b/>
                <w:bCs/>
                <w:sz w:val="20"/>
                <w:szCs w:val="20"/>
              </w:rPr>
              <w:t>Providers</w:t>
            </w:r>
          </w:p>
        </w:tc>
        <w:tc>
          <w:tcPr>
            <w:tcW w:w="3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043AE" w14:textId="77777777" w:rsidR="003C5491" w:rsidRDefault="00000000">
            <w:pPr>
              <w:spacing w:line="264" w:lineRule="auto"/>
            </w:pPr>
            <w:r>
              <w:rPr>
                <w:sz w:val="20"/>
                <w:szCs w:val="20"/>
              </w:rPr>
              <w:t>Deel, Remote.com, Oyster</w:t>
            </w:r>
          </w:p>
        </w:tc>
        <w:tc>
          <w:tcPr>
            <w:tcW w:w="3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043AF" w14:textId="77777777" w:rsidR="003C5491" w:rsidRDefault="00000000">
            <w:pPr>
              <w:spacing w:line="264" w:lineRule="auto"/>
            </w:pPr>
            <w:r>
              <w:rPr>
                <w:sz w:val="20"/>
                <w:szCs w:val="20"/>
              </w:rPr>
              <w:t>You invoice directly; receive via Wise or Payoneer</w:t>
            </w:r>
          </w:p>
        </w:tc>
      </w:tr>
      <w:tr w:rsidR="003C5491" w14:paraId="049043B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49043B1" w14:textId="77777777" w:rsidR="003C5491" w:rsidRDefault="00000000">
            <w:pPr>
              <w:spacing w:line="264" w:lineRule="auto"/>
            </w:pPr>
            <w:r>
              <w:rPr>
                <w:b/>
                <w:bCs/>
                <w:sz w:val="20"/>
                <w:szCs w:val="20"/>
              </w:rPr>
              <w:t>Your status</w:t>
            </w:r>
          </w:p>
        </w:tc>
        <w:tc>
          <w:tcPr>
            <w:tcW w:w="3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043B2" w14:textId="77777777" w:rsidR="003C5491" w:rsidRDefault="00000000">
            <w:pPr>
              <w:spacing w:line="264" w:lineRule="auto"/>
            </w:pPr>
            <w:r>
              <w:rPr>
                <w:sz w:val="20"/>
                <w:szCs w:val="20"/>
              </w:rPr>
              <w:t>Full employee of the EOR</w:t>
            </w:r>
          </w:p>
        </w:tc>
        <w:tc>
          <w:tcPr>
            <w:tcW w:w="3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043B3" w14:textId="77777777" w:rsidR="003C5491" w:rsidRDefault="00000000">
            <w:pPr>
              <w:spacing w:line="264" w:lineRule="auto"/>
            </w:pPr>
            <w:r>
              <w:rPr>
                <w:sz w:val="20"/>
                <w:szCs w:val="20"/>
              </w:rPr>
              <w:t>Self-employed / sole proprietor</w:t>
            </w:r>
          </w:p>
        </w:tc>
      </w:tr>
      <w:tr w:rsidR="003C5491" w14:paraId="049043B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49043B5" w14:textId="77777777" w:rsidR="003C5491" w:rsidRDefault="00000000">
            <w:pPr>
              <w:spacing w:line="264" w:lineRule="auto"/>
            </w:pPr>
            <w:r>
              <w:rPr>
                <w:b/>
                <w:bCs/>
                <w:sz w:val="20"/>
                <w:szCs w:val="20"/>
              </w:rPr>
              <w:t>Paid in</w:t>
            </w:r>
          </w:p>
        </w:tc>
        <w:tc>
          <w:tcPr>
            <w:tcW w:w="3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043B6" w14:textId="77777777" w:rsidR="003C5491" w:rsidRDefault="00000000">
            <w:pPr>
              <w:spacing w:line="264" w:lineRule="auto"/>
            </w:pPr>
            <w:r>
              <w:rPr>
                <w:sz w:val="20"/>
                <w:szCs w:val="20"/>
              </w:rPr>
              <w:t>ZAR (the EOR converts)</w:t>
            </w:r>
          </w:p>
        </w:tc>
        <w:tc>
          <w:tcPr>
            <w:tcW w:w="3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043B7" w14:textId="77777777" w:rsidR="003C5491" w:rsidRDefault="00000000">
            <w:pPr>
              <w:spacing w:line="264" w:lineRule="auto"/>
            </w:pPr>
            <w:r>
              <w:rPr>
                <w:sz w:val="20"/>
                <w:szCs w:val="20"/>
              </w:rPr>
              <w:t>USD / EUR / GBP into a multi-currency account</w:t>
            </w:r>
          </w:p>
        </w:tc>
      </w:tr>
      <w:tr w:rsidR="003C5491" w14:paraId="049043B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49043B9" w14:textId="77777777" w:rsidR="003C5491" w:rsidRDefault="00000000">
            <w:pPr>
              <w:spacing w:line="264" w:lineRule="auto"/>
            </w:pPr>
            <w:r>
              <w:rPr>
                <w:b/>
                <w:bCs/>
                <w:sz w:val="20"/>
                <w:szCs w:val="20"/>
              </w:rPr>
              <w:t>Tax handling</w:t>
            </w:r>
          </w:p>
        </w:tc>
        <w:tc>
          <w:tcPr>
            <w:tcW w:w="3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043BA" w14:textId="77777777" w:rsidR="003C5491" w:rsidRDefault="00000000">
            <w:pPr>
              <w:spacing w:line="264" w:lineRule="auto"/>
            </w:pPr>
            <w:r>
              <w:rPr>
                <w:sz w:val="20"/>
                <w:szCs w:val="20"/>
              </w:rPr>
              <w:t>PAYE deducted automatically</w:t>
            </w:r>
          </w:p>
        </w:tc>
        <w:tc>
          <w:tcPr>
            <w:tcW w:w="3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043BB" w14:textId="77777777" w:rsidR="003C5491" w:rsidRDefault="00000000">
            <w:pPr>
              <w:spacing w:line="264" w:lineRule="auto"/>
            </w:pPr>
            <w:r>
              <w:rPr>
                <w:sz w:val="20"/>
                <w:szCs w:val="20"/>
              </w:rPr>
              <w:t>You register as a provisional taxpayer (file Feb &amp; Aug)</w:t>
            </w:r>
          </w:p>
        </w:tc>
      </w:tr>
      <w:tr w:rsidR="003C5491" w14:paraId="049043C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49043BD" w14:textId="77777777" w:rsidR="003C5491" w:rsidRDefault="00000000">
            <w:pPr>
              <w:spacing w:line="264" w:lineRule="auto"/>
            </w:pPr>
            <w:r>
              <w:rPr>
                <w:b/>
                <w:bCs/>
                <w:sz w:val="20"/>
                <w:szCs w:val="20"/>
              </w:rPr>
              <w:t>Benefits</w:t>
            </w:r>
          </w:p>
        </w:tc>
        <w:tc>
          <w:tcPr>
            <w:tcW w:w="3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043BE" w14:textId="77777777" w:rsidR="003C5491" w:rsidRDefault="00000000">
            <w:pPr>
              <w:spacing w:line="264" w:lineRule="auto"/>
            </w:pPr>
            <w:r>
              <w:rPr>
                <w:sz w:val="20"/>
                <w:szCs w:val="20"/>
              </w:rPr>
              <w:t>Leave and statutory benefits included</w:t>
            </w:r>
          </w:p>
        </w:tc>
        <w:tc>
          <w:tcPr>
            <w:tcW w:w="3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043BF" w14:textId="77777777" w:rsidR="003C5491" w:rsidRDefault="00000000">
            <w:pPr>
              <w:spacing w:line="264" w:lineRule="auto"/>
            </w:pPr>
            <w:r>
              <w:rPr>
                <w:sz w:val="20"/>
                <w:szCs w:val="20"/>
              </w:rPr>
              <w:t>None — price them into your rate</w:t>
            </w:r>
          </w:p>
        </w:tc>
      </w:tr>
      <w:tr w:rsidR="003C5491" w14:paraId="049043C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49043C1" w14:textId="77777777" w:rsidR="003C5491" w:rsidRDefault="00000000">
            <w:pPr>
              <w:spacing w:line="264" w:lineRule="auto"/>
            </w:pPr>
            <w:r>
              <w:rPr>
                <w:b/>
                <w:bCs/>
                <w:sz w:val="20"/>
                <w:szCs w:val="20"/>
              </w:rPr>
              <w:lastRenderedPageBreak/>
              <w:t>Best when</w:t>
            </w:r>
          </w:p>
        </w:tc>
        <w:tc>
          <w:tcPr>
            <w:tcW w:w="3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043C2" w14:textId="77777777" w:rsidR="003C5491" w:rsidRDefault="00000000">
            <w:pPr>
              <w:spacing w:line="264" w:lineRule="auto"/>
            </w:pPr>
            <w:r>
              <w:rPr>
                <w:sz w:val="20"/>
                <w:szCs w:val="20"/>
              </w:rPr>
              <w:t>You want simplicity, especially early on</w:t>
            </w:r>
          </w:p>
        </w:tc>
        <w:tc>
          <w:tcPr>
            <w:tcW w:w="37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043C3" w14:textId="77777777" w:rsidR="003C5491" w:rsidRDefault="00000000">
            <w:pPr>
              <w:spacing w:line="264" w:lineRule="auto"/>
            </w:pPr>
            <w:r>
              <w:rPr>
                <w:sz w:val="20"/>
                <w:szCs w:val="20"/>
              </w:rPr>
              <w:t>You want to hold hard currency and maximise take-home</w:t>
            </w:r>
          </w:p>
        </w:tc>
      </w:tr>
    </w:tbl>
    <w:p w14:paraId="049043C5" w14:textId="77777777" w:rsidR="003C5491" w:rsidRDefault="00000000">
      <w:pPr>
        <w:spacing w:before="160" w:after="140" w:line="276" w:lineRule="auto"/>
      </w:pPr>
      <w:r>
        <w:rPr>
          <w:b/>
          <w:bCs/>
        </w:rPr>
        <w:t xml:space="preserve">On tax: </w:t>
      </w:r>
      <w:r>
        <w:t xml:space="preserve">as a South African tax resident your worldwide income is taxable, and the foreign-employment exemption does </w:t>
      </w:r>
      <w:r>
        <w:rPr>
          <w:i/>
          <w:iCs/>
        </w:rPr>
        <w:t>not</w:t>
      </w:r>
      <w:r>
        <w:t xml:space="preserve"> apply, because you are physically in Cape Town. Engage a cross-border-savvy accountant before your first payment lands. This document is general information, not financial or tax advice.</w:t>
      </w:r>
    </w:p>
    <w:p w14:paraId="049043C6" w14:textId="77777777" w:rsidR="003C5491" w:rsidRDefault="00000000">
      <w:pPr>
        <w:pStyle w:val="Heading1"/>
      </w:pPr>
      <w:r>
        <w:t>The six-project sequence</w:t>
      </w:r>
    </w:p>
    <w:p w14:paraId="049043C7" w14:textId="77777777" w:rsidR="003C5491" w:rsidRDefault="00000000">
      <w:pPr>
        <w:spacing w:after="120" w:line="276" w:lineRule="auto"/>
      </w:pPr>
      <w:r>
        <w:t>Your original six “platform” ideas were the right domains but the wrong packaging — built in parallel they overlap and stay shallow. Sequenced as connected layers, each building on the last with security running through all of them, they become one coherent, deep body of work. Project 4 is the flagship: build and pin it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2740"/>
        <w:gridCol w:w="2900"/>
        <w:gridCol w:w="3100"/>
      </w:tblGrid>
      <w:tr w:rsidR="003C5491" w14:paraId="049043CC" w14:textId="77777777">
        <w:tblPrEx>
          <w:tblCellMar>
            <w:top w:w="0" w:type="dxa"/>
            <w:bottom w:w="0" w:type="dxa"/>
          </w:tblCellMar>
        </w:tblPrEx>
        <w:trPr>
          <w:tblHeader/>
        </w:trPr>
        <w:tc>
          <w:tcPr>
            <w:tcW w:w="6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9043C8" w14:textId="77777777" w:rsidR="003C5491" w:rsidRDefault="00000000">
            <w:r>
              <w:rPr>
                <w:b/>
                <w:bCs/>
                <w:color w:val="FFFFFF"/>
                <w:sz w:val="20"/>
                <w:szCs w:val="20"/>
              </w:rPr>
              <w:t>#</w:t>
            </w:r>
          </w:p>
        </w:tc>
        <w:tc>
          <w:tcPr>
            <w:tcW w:w="27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9043C9" w14:textId="77777777" w:rsidR="003C5491" w:rsidRDefault="00000000">
            <w:r>
              <w:rPr>
                <w:b/>
                <w:bCs/>
                <w:color w:val="FFFFFF"/>
                <w:sz w:val="20"/>
                <w:szCs w:val="20"/>
              </w:rPr>
              <w:t>Project</w:t>
            </w:r>
          </w:p>
        </w:tc>
        <w:tc>
          <w:tcPr>
            <w:tcW w:w="2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9043CA" w14:textId="77777777" w:rsidR="003C5491" w:rsidRDefault="00000000">
            <w:r>
              <w:rPr>
                <w:b/>
                <w:bCs/>
                <w:color w:val="FFFFFF"/>
                <w:sz w:val="20"/>
                <w:szCs w:val="20"/>
              </w:rPr>
              <w:t>What it proves</w:t>
            </w:r>
          </w:p>
        </w:tc>
        <w:tc>
          <w:tcPr>
            <w:tcW w:w="3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9043CB" w14:textId="77777777" w:rsidR="003C5491" w:rsidRDefault="00000000">
            <w:r>
              <w:rPr>
                <w:b/>
                <w:bCs/>
                <w:color w:val="FFFFFF"/>
                <w:sz w:val="20"/>
                <w:szCs w:val="20"/>
              </w:rPr>
              <w:t>Key tools</w:t>
            </w:r>
          </w:p>
        </w:tc>
      </w:tr>
      <w:tr w:rsidR="003C5491" w14:paraId="049043D1" w14:textId="77777777">
        <w:tblPrEx>
          <w:tblCellMar>
            <w:top w:w="0" w:type="dxa"/>
            <w:bottom w:w="0" w:type="dxa"/>
          </w:tblCellMar>
        </w:tblPrEx>
        <w:tc>
          <w:tcPr>
            <w:tcW w:w="6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49043CD" w14:textId="77777777" w:rsidR="003C5491" w:rsidRDefault="00000000">
            <w:pPr>
              <w:spacing w:line="264" w:lineRule="auto"/>
            </w:pPr>
            <w:r>
              <w:rPr>
                <w:b/>
                <w:bCs/>
                <w:sz w:val="20"/>
                <w:szCs w:val="20"/>
              </w:rPr>
              <w:t>1</w:t>
            </w:r>
          </w:p>
        </w:tc>
        <w:tc>
          <w:tcPr>
            <w:tcW w:w="2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043CE" w14:textId="77777777" w:rsidR="003C5491" w:rsidRDefault="00000000">
            <w:pPr>
              <w:spacing w:line="264" w:lineRule="auto"/>
            </w:pPr>
            <w:r>
              <w:rPr>
                <w:b/>
                <w:bCs/>
                <w:sz w:val="20"/>
                <w:szCs w:val="20"/>
              </w:rPr>
              <w:t>Infrastructure as code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043CF" w14:textId="77777777" w:rsidR="003C5491" w:rsidRDefault="00000000">
            <w:pPr>
              <w:spacing w:line="264" w:lineRule="auto"/>
            </w:pPr>
            <w:proofErr w:type="spellStart"/>
            <w:r>
              <w:rPr>
                <w:sz w:val="20"/>
                <w:szCs w:val="20"/>
              </w:rPr>
              <w:t>IaC</w:t>
            </w:r>
            <w:proofErr w:type="spellEnd"/>
            <w:r>
              <w:rPr>
                <w:sz w:val="20"/>
                <w:szCs w:val="20"/>
              </w:rPr>
              <w:t xml:space="preserve"> plus the AWS depth you already own (the foundation)</w:t>
            </w:r>
          </w:p>
        </w:t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043D0" w14:textId="77777777" w:rsidR="003C5491" w:rsidRDefault="00000000">
            <w:pPr>
              <w:spacing w:line="264" w:lineRule="auto"/>
            </w:pPr>
            <w:r>
              <w:rPr>
                <w:sz w:val="20"/>
                <w:szCs w:val="20"/>
              </w:rPr>
              <w:t>Terraform, VPC, IAM, remote state</w:t>
            </w:r>
          </w:p>
        </w:tc>
      </w:tr>
      <w:tr w:rsidR="003C5491" w14:paraId="049043D6" w14:textId="77777777">
        <w:tblPrEx>
          <w:tblCellMar>
            <w:top w:w="0" w:type="dxa"/>
            <w:bottom w:w="0" w:type="dxa"/>
          </w:tblCellMar>
        </w:tblPrEx>
        <w:tc>
          <w:tcPr>
            <w:tcW w:w="6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49043D2" w14:textId="77777777" w:rsidR="003C5491" w:rsidRDefault="00000000">
            <w:pPr>
              <w:spacing w:line="264" w:lineRule="auto"/>
            </w:pPr>
            <w:r>
              <w:rPr>
                <w:b/>
                <w:bCs/>
                <w:sz w:val="20"/>
                <w:szCs w:val="20"/>
              </w:rPr>
              <w:t>2</w:t>
            </w:r>
          </w:p>
        </w:tc>
        <w:tc>
          <w:tcPr>
            <w:tcW w:w="2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043D3" w14:textId="77777777" w:rsidR="003C5491" w:rsidRDefault="00000000">
            <w:pPr>
              <w:spacing w:line="264" w:lineRule="auto"/>
            </w:pPr>
            <w:r>
              <w:rPr>
                <w:b/>
                <w:bCs/>
                <w:sz w:val="20"/>
                <w:szCs w:val="20"/>
              </w:rPr>
              <w:t>Containers &amp; orchestration</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043D4" w14:textId="77777777" w:rsidR="003C5491" w:rsidRDefault="00000000">
            <w:pPr>
              <w:spacing w:line="264" w:lineRule="auto"/>
            </w:pPr>
            <w:r>
              <w:rPr>
                <w:sz w:val="20"/>
                <w:szCs w:val="20"/>
              </w:rPr>
              <w:t>Containers and Kubernetes — now expected, not optional</w:t>
            </w:r>
          </w:p>
        </w:t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043D5" w14:textId="77777777" w:rsidR="003C5491" w:rsidRDefault="00000000">
            <w:pPr>
              <w:spacing w:line="264" w:lineRule="auto"/>
            </w:pPr>
            <w:r>
              <w:rPr>
                <w:sz w:val="20"/>
                <w:szCs w:val="20"/>
              </w:rPr>
              <w:t>Docker, EKS, Helm</w:t>
            </w:r>
          </w:p>
        </w:tc>
      </w:tr>
      <w:tr w:rsidR="003C5491" w14:paraId="049043DB" w14:textId="77777777">
        <w:tblPrEx>
          <w:tblCellMar>
            <w:top w:w="0" w:type="dxa"/>
            <w:bottom w:w="0" w:type="dxa"/>
          </w:tblCellMar>
        </w:tblPrEx>
        <w:tc>
          <w:tcPr>
            <w:tcW w:w="6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49043D7" w14:textId="77777777" w:rsidR="003C5491" w:rsidRDefault="00000000">
            <w:pPr>
              <w:spacing w:line="264" w:lineRule="auto"/>
            </w:pPr>
            <w:r>
              <w:rPr>
                <w:b/>
                <w:bCs/>
                <w:sz w:val="20"/>
                <w:szCs w:val="20"/>
              </w:rPr>
              <w:t>3</w:t>
            </w:r>
          </w:p>
        </w:tc>
        <w:tc>
          <w:tcPr>
            <w:tcW w:w="2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043D8" w14:textId="77777777" w:rsidR="003C5491" w:rsidRDefault="00000000">
            <w:pPr>
              <w:spacing w:line="264" w:lineRule="auto"/>
            </w:pPr>
            <w:proofErr w:type="spellStart"/>
            <w:r>
              <w:rPr>
                <w:b/>
                <w:bCs/>
                <w:sz w:val="20"/>
                <w:szCs w:val="20"/>
              </w:rPr>
              <w:t>GitOps</w:t>
            </w:r>
            <w:proofErr w:type="spellEnd"/>
            <w:r>
              <w:rPr>
                <w:b/>
                <w:bCs/>
                <w:sz w:val="20"/>
                <w:szCs w:val="20"/>
              </w:rPr>
              <w:t xml:space="preserve"> continuous delivery</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043D9" w14:textId="77777777" w:rsidR="003C5491" w:rsidRDefault="00000000">
            <w:pPr>
              <w:spacing w:line="264" w:lineRule="auto"/>
            </w:pPr>
            <w:r>
              <w:rPr>
                <w:sz w:val="20"/>
                <w:szCs w:val="20"/>
              </w:rPr>
              <w:t>Safe, modern delivery and failure-mode thinking</w:t>
            </w:r>
          </w:p>
        </w:t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043DA" w14:textId="77777777" w:rsidR="003C5491" w:rsidRDefault="00000000">
            <w:pPr>
              <w:spacing w:line="264" w:lineRule="auto"/>
            </w:pPr>
            <w:proofErr w:type="spellStart"/>
            <w:r>
              <w:rPr>
                <w:sz w:val="20"/>
                <w:szCs w:val="20"/>
              </w:rPr>
              <w:t>ArgoCD</w:t>
            </w:r>
            <w:proofErr w:type="spellEnd"/>
            <w:r>
              <w:rPr>
                <w:sz w:val="20"/>
                <w:szCs w:val="20"/>
              </w:rPr>
              <w:t>, canary, automated rollback</w:t>
            </w:r>
          </w:p>
        </w:tc>
      </w:tr>
      <w:tr w:rsidR="003C5491" w14:paraId="049043E0" w14:textId="77777777">
        <w:tblPrEx>
          <w:tblCellMar>
            <w:top w:w="0" w:type="dxa"/>
            <w:bottom w:w="0" w:type="dxa"/>
          </w:tblCellMar>
        </w:tblPrEx>
        <w:tc>
          <w:tcPr>
            <w:tcW w:w="620" w:type="dxa"/>
            <w:tcBorders>
              <w:top w:val="single" w:sz="1" w:space="0" w:color="CCCCCC"/>
              <w:left w:val="single" w:sz="1" w:space="0" w:color="CCCCCC"/>
              <w:bottom w:val="single" w:sz="1" w:space="0" w:color="CCCCCC"/>
              <w:right w:val="single" w:sz="1" w:space="0" w:color="CCCCCC"/>
            </w:tcBorders>
            <w:shd w:val="clear" w:color="auto" w:fill="FCE9CF"/>
            <w:tcMar>
              <w:top w:w="80" w:type="dxa"/>
              <w:left w:w="120" w:type="dxa"/>
              <w:bottom w:w="80" w:type="dxa"/>
              <w:right w:w="120" w:type="dxa"/>
            </w:tcMar>
            <w:vAlign w:val="center"/>
          </w:tcPr>
          <w:p w14:paraId="049043DC" w14:textId="77777777" w:rsidR="003C5491" w:rsidRDefault="00000000">
            <w:pPr>
              <w:spacing w:line="264" w:lineRule="auto"/>
            </w:pPr>
            <w:r>
              <w:rPr>
                <w:b/>
                <w:bCs/>
                <w:sz w:val="20"/>
                <w:szCs w:val="20"/>
              </w:rPr>
              <w:t>4</w:t>
            </w:r>
          </w:p>
        </w:tc>
        <w:tc>
          <w:tcPr>
            <w:tcW w:w="2740" w:type="dxa"/>
            <w:tcBorders>
              <w:top w:val="single" w:sz="1" w:space="0" w:color="CCCCCC"/>
              <w:left w:val="single" w:sz="1" w:space="0" w:color="CCCCCC"/>
              <w:bottom w:val="single" w:sz="1" w:space="0" w:color="CCCCCC"/>
              <w:right w:val="single" w:sz="1" w:space="0" w:color="CCCCCC"/>
            </w:tcBorders>
            <w:shd w:val="clear" w:color="auto" w:fill="FCE9CF"/>
            <w:tcMar>
              <w:top w:w="80" w:type="dxa"/>
              <w:left w:w="120" w:type="dxa"/>
              <w:bottom w:w="80" w:type="dxa"/>
              <w:right w:w="120" w:type="dxa"/>
            </w:tcMar>
            <w:vAlign w:val="center"/>
          </w:tcPr>
          <w:p w14:paraId="049043DD" w14:textId="77777777" w:rsidR="003C5491" w:rsidRDefault="00000000">
            <w:pPr>
              <w:spacing w:line="264" w:lineRule="auto"/>
            </w:pPr>
            <w:r>
              <w:rPr>
                <w:b/>
                <w:bCs/>
                <w:sz w:val="20"/>
                <w:szCs w:val="20"/>
              </w:rPr>
              <w:t xml:space="preserve">Secure CI/CD </w:t>
            </w:r>
            <w:proofErr w:type="gramStart"/>
            <w:r>
              <w:rPr>
                <w:b/>
                <w:bCs/>
                <w:sz w:val="20"/>
                <w:szCs w:val="20"/>
              </w:rPr>
              <w:t>pipeline  (</w:t>
            </w:r>
            <w:proofErr w:type="gramEnd"/>
            <w:r>
              <w:rPr>
                <w:b/>
                <w:bCs/>
                <w:sz w:val="20"/>
                <w:szCs w:val="20"/>
              </w:rPr>
              <w:t>flagship)</w:t>
            </w:r>
          </w:p>
        </w:tc>
        <w:tc>
          <w:tcPr>
            <w:tcW w:w="2900" w:type="dxa"/>
            <w:tcBorders>
              <w:top w:val="single" w:sz="1" w:space="0" w:color="CCCCCC"/>
              <w:left w:val="single" w:sz="1" w:space="0" w:color="CCCCCC"/>
              <w:bottom w:val="single" w:sz="1" w:space="0" w:color="CCCCCC"/>
              <w:right w:val="single" w:sz="1" w:space="0" w:color="CCCCCC"/>
            </w:tcBorders>
            <w:shd w:val="clear" w:color="auto" w:fill="FCE9CF"/>
            <w:tcMar>
              <w:top w:w="80" w:type="dxa"/>
              <w:left w:w="120" w:type="dxa"/>
              <w:bottom w:w="80" w:type="dxa"/>
              <w:right w:w="120" w:type="dxa"/>
            </w:tcMar>
            <w:vAlign w:val="center"/>
          </w:tcPr>
          <w:p w14:paraId="049043DE" w14:textId="77777777" w:rsidR="003C5491" w:rsidRDefault="00000000">
            <w:pPr>
              <w:spacing w:line="264" w:lineRule="auto"/>
            </w:pPr>
            <w:proofErr w:type="spellStart"/>
            <w:r>
              <w:rPr>
                <w:sz w:val="20"/>
                <w:szCs w:val="20"/>
              </w:rPr>
              <w:t>DevSecOps</w:t>
            </w:r>
            <w:proofErr w:type="spellEnd"/>
            <w:r>
              <w:rPr>
                <w:sz w:val="20"/>
                <w:szCs w:val="20"/>
              </w:rPr>
              <w:t xml:space="preserve"> — the differentiator that lands interviews</w:t>
            </w:r>
          </w:p>
        </w:tc>
        <w:tc>
          <w:tcPr>
            <w:tcW w:w="3100" w:type="dxa"/>
            <w:tcBorders>
              <w:top w:val="single" w:sz="1" w:space="0" w:color="CCCCCC"/>
              <w:left w:val="single" w:sz="1" w:space="0" w:color="CCCCCC"/>
              <w:bottom w:val="single" w:sz="1" w:space="0" w:color="CCCCCC"/>
              <w:right w:val="single" w:sz="1" w:space="0" w:color="CCCCCC"/>
            </w:tcBorders>
            <w:shd w:val="clear" w:color="auto" w:fill="FCE9CF"/>
            <w:tcMar>
              <w:top w:w="80" w:type="dxa"/>
              <w:left w:w="120" w:type="dxa"/>
              <w:bottom w:w="80" w:type="dxa"/>
              <w:right w:w="120" w:type="dxa"/>
            </w:tcMar>
            <w:vAlign w:val="center"/>
          </w:tcPr>
          <w:p w14:paraId="049043DF" w14:textId="77777777" w:rsidR="003C5491" w:rsidRDefault="00000000">
            <w:pPr>
              <w:spacing w:line="264" w:lineRule="auto"/>
            </w:pPr>
            <w:r>
              <w:rPr>
                <w:sz w:val="20"/>
                <w:szCs w:val="20"/>
              </w:rPr>
              <w:t xml:space="preserve">GitHub Actions, </w:t>
            </w:r>
            <w:proofErr w:type="spellStart"/>
            <w:r>
              <w:rPr>
                <w:sz w:val="20"/>
                <w:szCs w:val="20"/>
              </w:rPr>
              <w:t>Trivy</w:t>
            </w:r>
            <w:proofErr w:type="spellEnd"/>
            <w:r>
              <w:rPr>
                <w:sz w:val="20"/>
                <w:szCs w:val="20"/>
              </w:rPr>
              <w:t xml:space="preserve">, </w:t>
            </w:r>
            <w:proofErr w:type="spellStart"/>
            <w:r>
              <w:rPr>
                <w:sz w:val="20"/>
                <w:szCs w:val="20"/>
              </w:rPr>
              <w:t>gitleaks</w:t>
            </w:r>
            <w:proofErr w:type="spellEnd"/>
            <w:r>
              <w:rPr>
                <w:sz w:val="20"/>
                <w:szCs w:val="20"/>
              </w:rPr>
              <w:t xml:space="preserve">, </w:t>
            </w:r>
            <w:proofErr w:type="spellStart"/>
            <w:r>
              <w:rPr>
                <w:sz w:val="20"/>
                <w:szCs w:val="20"/>
              </w:rPr>
              <w:t>Checkov</w:t>
            </w:r>
            <w:proofErr w:type="spellEnd"/>
            <w:r>
              <w:rPr>
                <w:sz w:val="20"/>
                <w:szCs w:val="20"/>
              </w:rPr>
              <w:t>/</w:t>
            </w:r>
            <w:proofErr w:type="spellStart"/>
            <w:r>
              <w:rPr>
                <w:sz w:val="20"/>
                <w:szCs w:val="20"/>
              </w:rPr>
              <w:t>tfsec</w:t>
            </w:r>
            <w:proofErr w:type="spellEnd"/>
            <w:r>
              <w:rPr>
                <w:sz w:val="20"/>
                <w:szCs w:val="20"/>
              </w:rPr>
              <w:t>, OPA, cosign</w:t>
            </w:r>
          </w:p>
        </w:tc>
      </w:tr>
      <w:tr w:rsidR="003C5491" w14:paraId="049043E5" w14:textId="77777777">
        <w:tblPrEx>
          <w:tblCellMar>
            <w:top w:w="0" w:type="dxa"/>
            <w:bottom w:w="0" w:type="dxa"/>
          </w:tblCellMar>
        </w:tblPrEx>
        <w:tc>
          <w:tcPr>
            <w:tcW w:w="6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49043E1" w14:textId="77777777" w:rsidR="003C5491" w:rsidRDefault="00000000">
            <w:pPr>
              <w:spacing w:line="264" w:lineRule="auto"/>
            </w:pPr>
            <w:r>
              <w:rPr>
                <w:b/>
                <w:bCs/>
                <w:sz w:val="20"/>
                <w:szCs w:val="20"/>
              </w:rPr>
              <w:t>5</w:t>
            </w:r>
          </w:p>
        </w:tc>
        <w:tc>
          <w:tcPr>
            <w:tcW w:w="2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043E2" w14:textId="77777777" w:rsidR="003C5491" w:rsidRDefault="00000000">
            <w:pPr>
              <w:spacing w:line="264" w:lineRule="auto"/>
            </w:pPr>
            <w:r>
              <w:rPr>
                <w:b/>
                <w:bCs/>
                <w:sz w:val="20"/>
                <w:szCs w:val="20"/>
              </w:rPr>
              <w:t>Observability &amp; security monitoring</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043E3" w14:textId="77777777" w:rsidR="003C5491" w:rsidRDefault="00000000">
            <w:pPr>
              <w:spacing w:line="264" w:lineRule="auto"/>
            </w:pPr>
            <w:r>
              <w:rPr>
                <w:sz w:val="20"/>
                <w:szCs w:val="20"/>
              </w:rPr>
              <w:t>Operational maturity (where your support background shines)</w:t>
            </w:r>
          </w:p>
        </w:t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043E4" w14:textId="77777777" w:rsidR="003C5491" w:rsidRDefault="00000000">
            <w:pPr>
              <w:spacing w:line="264" w:lineRule="auto"/>
            </w:pPr>
            <w:r>
              <w:rPr>
                <w:sz w:val="20"/>
                <w:szCs w:val="20"/>
              </w:rPr>
              <w:t xml:space="preserve">Prometheus, Grafana, </w:t>
            </w:r>
            <w:proofErr w:type="spellStart"/>
            <w:r>
              <w:rPr>
                <w:sz w:val="20"/>
                <w:szCs w:val="20"/>
              </w:rPr>
              <w:t>GuardDuty</w:t>
            </w:r>
            <w:proofErr w:type="spellEnd"/>
            <w:r>
              <w:rPr>
                <w:sz w:val="20"/>
                <w:szCs w:val="20"/>
              </w:rPr>
              <w:t xml:space="preserve"> / Falco, postmortem</w:t>
            </w:r>
          </w:p>
        </w:tc>
      </w:tr>
      <w:tr w:rsidR="003C5491" w14:paraId="049043EA" w14:textId="77777777">
        <w:tblPrEx>
          <w:tblCellMar>
            <w:top w:w="0" w:type="dxa"/>
            <w:bottom w:w="0" w:type="dxa"/>
          </w:tblCellMar>
        </w:tblPrEx>
        <w:tc>
          <w:tcPr>
            <w:tcW w:w="6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vAlign w:val="center"/>
          </w:tcPr>
          <w:p w14:paraId="049043E6" w14:textId="77777777" w:rsidR="003C5491" w:rsidRDefault="00000000">
            <w:pPr>
              <w:spacing w:line="264" w:lineRule="auto"/>
            </w:pPr>
            <w:r>
              <w:rPr>
                <w:b/>
                <w:bCs/>
                <w:sz w:val="20"/>
                <w:szCs w:val="20"/>
              </w:rPr>
              <w:t>6</w:t>
            </w:r>
          </w:p>
        </w:tc>
        <w:tc>
          <w:tcPr>
            <w:tcW w:w="2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043E7" w14:textId="77777777" w:rsidR="003C5491" w:rsidRDefault="00000000">
            <w:pPr>
              <w:spacing w:line="264" w:lineRule="auto"/>
            </w:pPr>
            <w:r>
              <w:rPr>
                <w:b/>
                <w:bCs/>
                <w:sz w:val="20"/>
                <w:szCs w:val="20"/>
              </w:rPr>
              <w:t>Internal Developer Platform (capstone)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043E8" w14:textId="77777777" w:rsidR="003C5491" w:rsidRDefault="00000000">
            <w:pPr>
              <w:spacing w:line="264" w:lineRule="auto"/>
            </w:pPr>
            <w:r>
              <w:rPr>
                <w:sz w:val="20"/>
                <w:szCs w:val="20"/>
              </w:rPr>
              <w:t>Platform-as-a-product thinking</w:t>
            </w:r>
          </w:p>
        </w:tc>
        <w:tc>
          <w:tcPr>
            <w:tcW w:w="3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043E9" w14:textId="77777777" w:rsidR="003C5491" w:rsidRDefault="00000000">
            <w:pPr>
              <w:spacing w:line="264" w:lineRule="auto"/>
            </w:pPr>
            <w:r>
              <w:rPr>
                <w:sz w:val="20"/>
                <w:szCs w:val="20"/>
              </w:rPr>
              <w:t>Backstage or a golden-path template / CLI</w:t>
            </w:r>
          </w:p>
        </w:tc>
      </w:tr>
    </w:tbl>
    <w:p w14:paraId="049043EB" w14:textId="77777777" w:rsidR="003C5491" w:rsidRDefault="003C5491">
      <w:pPr>
        <w:spacing w:before="120" w:after="160"/>
      </w:pPr>
    </w:p>
    <w:p w14:paraId="049043EC" w14:textId="77777777" w:rsidR="003C5491" w:rsidRDefault="00000000">
      <w:pPr>
        <w:pStyle w:val="Heading2"/>
      </w:pPr>
      <w:r>
        <w:t>Project 1 — Infrastructure as code (the foundation)</w:t>
      </w:r>
    </w:p>
    <w:p w14:paraId="049043ED" w14:textId="77777777" w:rsidR="003C5491" w:rsidRDefault="00000000">
      <w:pPr>
        <w:spacing w:after="120" w:line="276" w:lineRule="auto"/>
      </w:pPr>
      <w:r>
        <w:t>A reproducible, modular AWS environment in Terraform: VPC, networking, ALB, autoscaling, RDS, remote state, and least-privilege IAM. It should apply and destroy cleanly. This closes your biggest gap while showcasing the AWS depth you already have, and everything above sits on it.</w:t>
      </w:r>
    </w:p>
    <w:p w14:paraId="049043EE" w14:textId="77777777" w:rsidR="003C5491" w:rsidRDefault="00000000">
      <w:pPr>
        <w:pStyle w:val="Heading2"/>
      </w:pPr>
      <w:r>
        <w:t>Project 2 — Containers &amp; orchestration</w:t>
      </w:r>
    </w:p>
    <w:p w14:paraId="049043EF" w14:textId="77777777" w:rsidR="003C5491" w:rsidRDefault="00000000">
      <w:pPr>
        <w:spacing w:after="120" w:line="276" w:lineRule="auto"/>
      </w:pPr>
      <w:r>
        <w:t>Containerise a real application and deploy it to EKS with Helm. This closes the containers and Kubernetes gap — now an expectation rather than a bonus. It runs on Project 1’s infrastructure, not a throwaway cluster.</w:t>
      </w:r>
    </w:p>
    <w:p w14:paraId="049043F0" w14:textId="77777777" w:rsidR="003C5491" w:rsidRDefault="00000000">
      <w:pPr>
        <w:pStyle w:val="Heading2"/>
      </w:pPr>
      <w:r>
        <w:lastRenderedPageBreak/>
        <w:t xml:space="preserve">Project 3 — </w:t>
      </w:r>
      <w:proofErr w:type="spellStart"/>
      <w:r>
        <w:t>GitOps</w:t>
      </w:r>
      <w:proofErr w:type="spellEnd"/>
      <w:r>
        <w:t xml:space="preserve"> continuous delivery</w:t>
      </w:r>
    </w:p>
    <w:p w14:paraId="049043F1" w14:textId="77777777" w:rsidR="003C5491" w:rsidRDefault="00000000">
      <w:pPr>
        <w:spacing w:after="120" w:line="276" w:lineRule="auto"/>
      </w:pPr>
      <w:r>
        <w:t xml:space="preserve">Drive deployments through </w:t>
      </w:r>
      <w:proofErr w:type="spellStart"/>
      <w:r>
        <w:t>ArgoCD</w:t>
      </w:r>
      <w:proofErr w:type="spellEnd"/>
      <w:r>
        <w:t xml:space="preserve"> with a documented canary-and-rollback strategy. This proves you think about safe releases and failure modes, not merely that something deployed.</w:t>
      </w:r>
    </w:p>
    <w:p w14:paraId="049043F2" w14:textId="77777777" w:rsidR="003C5491" w:rsidRDefault="00000000">
      <w:pPr>
        <w:pStyle w:val="Heading2"/>
      </w:pPr>
      <w:r>
        <w:t>Project 4 — Secure CI/CD pipeline (the flagship)</w:t>
      </w:r>
    </w:p>
    <w:p w14:paraId="049043F3" w14:textId="77777777" w:rsidR="003C5491" w:rsidRDefault="00000000">
      <w:pPr>
        <w:spacing w:after="120" w:line="276" w:lineRule="auto"/>
      </w:pPr>
      <w:r>
        <w:t>A GitHub Actions pipeline that builds, tests, and ships Project 2’s app with security woven into every stage: secrets scanning (</w:t>
      </w:r>
      <w:proofErr w:type="spellStart"/>
      <w:r>
        <w:t>gitleaks</w:t>
      </w:r>
      <w:proofErr w:type="spellEnd"/>
      <w:r>
        <w:t>), SAST, dependency scanning, container image scanning (</w:t>
      </w:r>
      <w:proofErr w:type="spellStart"/>
      <w:r>
        <w:t>Trivy</w:t>
      </w:r>
      <w:proofErr w:type="spellEnd"/>
      <w:r>
        <w:t xml:space="preserve">), </w:t>
      </w:r>
      <w:proofErr w:type="spellStart"/>
      <w:r>
        <w:t>IaC</w:t>
      </w:r>
      <w:proofErr w:type="spellEnd"/>
      <w:r>
        <w:t xml:space="preserve"> scanning against Project 1 (</w:t>
      </w:r>
      <w:proofErr w:type="spellStart"/>
      <w:r>
        <w:t>Checkov</w:t>
      </w:r>
      <w:proofErr w:type="spellEnd"/>
      <w:r>
        <w:t xml:space="preserve"> / </w:t>
      </w:r>
      <w:proofErr w:type="spellStart"/>
      <w:r>
        <w:t>tfsec</w:t>
      </w:r>
      <w:proofErr w:type="spellEnd"/>
      <w:r>
        <w:t xml:space="preserve">), policy-as-code gates (OPA / </w:t>
      </w:r>
      <w:proofErr w:type="spellStart"/>
      <w:r>
        <w:t>Conftest</w:t>
      </w:r>
      <w:proofErr w:type="spellEnd"/>
      <w:r>
        <w:t>), and signed images (cosign). Add canary deploys with automated rollback. This is the single repository that makes a reviewer read “</w:t>
      </w:r>
      <w:proofErr w:type="spellStart"/>
      <w:r>
        <w:t>DevSecOps</w:t>
      </w:r>
      <w:proofErr w:type="spellEnd"/>
      <w:r>
        <w:t xml:space="preserve"> engineer” — pin it first.</w:t>
      </w:r>
    </w:p>
    <w:p w14:paraId="049043F4" w14:textId="77777777" w:rsidR="003C5491" w:rsidRDefault="00000000">
      <w:pPr>
        <w:pStyle w:val="Heading2"/>
      </w:pPr>
      <w:r>
        <w:t>Project 5 — Observability &amp; security monitoring</w:t>
      </w:r>
    </w:p>
    <w:p w14:paraId="049043F5" w14:textId="77777777" w:rsidR="003C5491" w:rsidRDefault="00000000">
      <w:pPr>
        <w:spacing w:after="120" w:line="276" w:lineRule="auto"/>
      </w:pPr>
      <w:r>
        <w:t>Prometheus / Grafana (or CloudWatch) on the workload with meaningful alerts, plus a security slice using AWS-native tooling (</w:t>
      </w:r>
      <w:proofErr w:type="spellStart"/>
      <w:r>
        <w:t>GuardDuty</w:t>
      </w:r>
      <w:proofErr w:type="spellEnd"/>
      <w:r>
        <w:t>, Security Hub, Config) or Falco for runtime detection, ideally with one automated remediation. Then write a postmortem of a simulated incident — one of the highest-signal artefacts you can publish, and exactly where your support background shows.</w:t>
      </w:r>
    </w:p>
    <w:p w14:paraId="049043F6" w14:textId="77777777" w:rsidR="003C5491" w:rsidRDefault="00000000">
      <w:pPr>
        <w:pStyle w:val="Heading2"/>
      </w:pPr>
      <w:r>
        <w:t>Project 6 — Internal Developer Platform (the capstone)</w:t>
      </w:r>
    </w:p>
    <w:p w14:paraId="049043F7" w14:textId="77777777" w:rsidR="003C5491" w:rsidRDefault="00000000">
      <w:pPr>
        <w:spacing w:after="120" w:line="276" w:lineRule="auto"/>
      </w:pPr>
      <w:r>
        <w:t xml:space="preserve">Wrap Projects 1–5 behind a self-service experience: a Backstage portal or a golden-path template / CLI that lets a developer provision an environment and deploy through the secure pipeline with one command. It comes last by necessity — it only earns its name once the plumbing beneath it is real. Treat it as optional but </w:t>
      </w:r>
      <w:proofErr w:type="gramStart"/>
      <w:r>
        <w:t>high-impact</w:t>
      </w:r>
      <w:proofErr w:type="gramEnd"/>
      <w:r>
        <w:t>.</w:t>
      </w:r>
    </w:p>
    <w:p w14:paraId="049043F8" w14:textId="77777777" w:rsidR="003C5491" w:rsidRDefault="00000000">
      <w:pPr>
        <w:pStyle w:val="Heading1"/>
      </w:pPr>
      <w:r>
        <w:t>What turns this into top 3%</w:t>
      </w:r>
    </w:p>
    <w:p w14:paraId="049043F9" w14:textId="77777777" w:rsidR="003C5491" w:rsidRDefault="00000000">
      <w:pPr>
        <w:spacing w:after="120" w:line="276" w:lineRule="auto"/>
      </w:pPr>
      <w:r>
        <w:t>It is not a seventh project — it is the connective tissue that signals “hand this person production infrastructure on day one” to a reviewer who has never met you:</w:t>
      </w:r>
    </w:p>
    <w:p w14:paraId="049043FA" w14:textId="77777777" w:rsidR="003C5491" w:rsidRDefault="00000000">
      <w:pPr>
        <w:pStyle w:val="ListParagraph"/>
        <w:numPr>
          <w:ilvl w:val="0"/>
          <w:numId w:val="2"/>
        </w:numPr>
        <w:spacing w:after="80" w:line="276" w:lineRule="auto"/>
      </w:pPr>
      <w:r>
        <w:t>A README on every repository that explains the why behind your choices, with an architecture diagram.</w:t>
      </w:r>
    </w:p>
    <w:p w14:paraId="049043FB" w14:textId="77777777" w:rsidR="003C5491" w:rsidRDefault="00000000">
      <w:pPr>
        <w:pStyle w:val="ListParagraph"/>
        <w:numPr>
          <w:ilvl w:val="0"/>
          <w:numId w:val="2"/>
        </w:numPr>
        <w:spacing w:after="80" w:line="276" w:lineRule="auto"/>
      </w:pPr>
      <w:r>
        <w:t>The incident postmortem from Project 5, written as you would for a real team.</w:t>
      </w:r>
    </w:p>
    <w:p w14:paraId="049043FC" w14:textId="77777777" w:rsidR="003C5491" w:rsidRDefault="00000000">
      <w:pPr>
        <w:pStyle w:val="ListParagraph"/>
        <w:numPr>
          <w:ilvl w:val="0"/>
          <w:numId w:val="2"/>
        </w:numPr>
        <w:spacing w:after="80" w:line="276" w:lineRule="auto"/>
      </w:pPr>
      <w:r>
        <w:t xml:space="preserve">A cost </w:t>
      </w:r>
      <w:proofErr w:type="gramStart"/>
      <w:r>
        <w:t>note</w:t>
      </w:r>
      <w:proofErr w:type="gramEnd"/>
      <w:r>
        <w:t xml:space="preserve"> in at least one repo: monthly run cost, budget alarms, and a teardown script — proof you have owned real cloud bills.</w:t>
      </w:r>
    </w:p>
    <w:p w14:paraId="049043FD" w14:textId="77777777" w:rsidR="003C5491" w:rsidRDefault="00000000">
      <w:pPr>
        <w:pStyle w:val="ListParagraph"/>
        <w:numPr>
          <w:ilvl w:val="0"/>
          <w:numId w:val="2"/>
        </w:numPr>
        <w:spacing w:after="80" w:line="276" w:lineRule="auto"/>
      </w:pPr>
      <w:r>
        <w:t xml:space="preserve">A visible security spine across all repos, so the whole portfolio reads </w:t>
      </w:r>
      <w:proofErr w:type="spellStart"/>
      <w:r>
        <w:t>DevSecOps</w:t>
      </w:r>
      <w:proofErr w:type="spellEnd"/>
      <w:r>
        <w:t xml:space="preserve"> rather than generic DevOps.</w:t>
      </w:r>
    </w:p>
    <w:p w14:paraId="04904403" w14:textId="7035E01B" w:rsidR="003C5491" w:rsidRDefault="00000000" w:rsidP="0066419F">
      <w:pPr>
        <w:pStyle w:val="ListParagraph"/>
        <w:numPr>
          <w:ilvl w:val="0"/>
          <w:numId w:val="2"/>
        </w:numPr>
        <w:spacing w:after="80" w:line="276" w:lineRule="auto"/>
      </w:pPr>
      <w:r>
        <w:t>Four to five deep, connected projects — never six shallow parallel “platforms.”</w:t>
      </w:r>
    </w:p>
    <w:sectPr w:rsidR="003C549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C1796" w14:textId="77777777" w:rsidR="006A65CB" w:rsidRDefault="006A65CB">
      <w:r>
        <w:separator/>
      </w:r>
    </w:p>
  </w:endnote>
  <w:endnote w:type="continuationSeparator" w:id="0">
    <w:p w14:paraId="0735501D" w14:textId="77777777" w:rsidR="006A65CB" w:rsidRDefault="006A6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04404" w14:textId="2EA17327" w:rsidR="003C5491" w:rsidRDefault="00000000">
    <w:pPr>
      <w:pBdr>
        <w:top w:val="single" w:sz="4" w:space="6" w:color="CCCCCC"/>
      </w:pBdr>
      <w:jc w:val="center"/>
    </w:pPr>
    <w:r>
      <w:rPr>
        <w:color w:val="888888"/>
        <w:sz w:val="16"/>
        <w:szCs w:val="16"/>
      </w:rPr>
      <w:t xml:space="preserve">Top 3% AWS DevOps Engineer — Remote Hard-Currency Portfolio Strategy        Page </w:t>
    </w:r>
    <w:r>
      <w:rPr>
        <w:color w:val="888888"/>
        <w:sz w:val="16"/>
        <w:szCs w:val="16"/>
      </w:rPr>
      <w:fldChar w:fldCharType="begin"/>
    </w:r>
    <w:r>
      <w:rPr>
        <w:color w:val="888888"/>
        <w:sz w:val="16"/>
        <w:szCs w:val="16"/>
      </w:rPr>
      <w:instrText>PAGE</w:instrText>
    </w:r>
    <w:r>
      <w:rPr>
        <w:color w:val="888888"/>
        <w:sz w:val="16"/>
        <w:szCs w:val="16"/>
      </w:rPr>
      <w:fldChar w:fldCharType="separate"/>
    </w:r>
    <w:r w:rsidR="0066419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CA0E1" w14:textId="77777777" w:rsidR="006A65CB" w:rsidRDefault="006A65CB">
      <w:r>
        <w:separator/>
      </w:r>
    </w:p>
  </w:footnote>
  <w:footnote w:type="continuationSeparator" w:id="0">
    <w:p w14:paraId="487CF56B" w14:textId="77777777" w:rsidR="006A65CB" w:rsidRDefault="006A65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E7157"/>
    <w:multiLevelType w:val="hybridMultilevel"/>
    <w:tmpl w:val="5EA4584A"/>
    <w:lvl w:ilvl="0" w:tplc="94ECB6C0">
      <w:start w:val="1"/>
      <w:numFmt w:val="bullet"/>
      <w:lvlText w:val="●"/>
      <w:lvlJc w:val="left"/>
      <w:pPr>
        <w:ind w:left="720" w:hanging="360"/>
      </w:pPr>
    </w:lvl>
    <w:lvl w:ilvl="1" w:tplc="775685A6">
      <w:start w:val="1"/>
      <w:numFmt w:val="bullet"/>
      <w:lvlText w:val="○"/>
      <w:lvlJc w:val="left"/>
      <w:pPr>
        <w:ind w:left="1440" w:hanging="360"/>
      </w:pPr>
    </w:lvl>
    <w:lvl w:ilvl="2" w:tplc="BD3AD730">
      <w:start w:val="1"/>
      <w:numFmt w:val="bullet"/>
      <w:lvlText w:val="■"/>
      <w:lvlJc w:val="left"/>
      <w:pPr>
        <w:ind w:left="2160" w:hanging="360"/>
      </w:pPr>
    </w:lvl>
    <w:lvl w:ilvl="3" w:tplc="FBE05CF4">
      <w:start w:val="1"/>
      <w:numFmt w:val="bullet"/>
      <w:lvlText w:val="●"/>
      <w:lvlJc w:val="left"/>
      <w:pPr>
        <w:ind w:left="2880" w:hanging="360"/>
      </w:pPr>
    </w:lvl>
    <w:lvl w:ilvl="4" w:tplc="9294C076">
      <w:start w:val="1"/>
      <w:numFmt w:val="bullet"/>
      <w:lvlText w:val="○"/>
      <w:lvlJc w:val="left"/>
      <w:pPr>
        <w:ind w:left="3600" w:hanging="360"/>
      </w:pPr>
    </w:lvl>
    <w:lvl w:ilvl="5" w:tplc="EF66B906">
      <w:start w:val="1"/>
      <w:numFmt w:val="bullet"/>
      <w:lvlText w:val="■"/>
      <w:lvlJc w:val="left"/>
      <w:pPr>
        <w:ind w:left="4320" w:hanging="360"/>
      </w:pPr>
    </w:lvl>
    <w:lvl w:ilvl="6" w:tplc="C3B0CBB0">
      <w:start w:val="1"/>
      <w:numFmt w:val="bullet"/>
      <w:lvlText w:val="●"/>
      <w:lvlJc w:val="left"/>
      <w:pPr>
        <w:ind w:left="5040" w:hanging="360"/>
      </w:pPr>
    </w:lvl>
    <w:lvl w:ilvl="7" w:tplc="C8BC8CF6">
      <w:start w:val="1"/>
      <w:numFmt w:val="bullet"/>
      <w:lvlText w:val="●"/>
      <w:lvlJc w:val="left"/>
      <w:pPr>
        <w:ind w:left="5760" w:hanging="360"/>
      </w:pPr>
    </w:lvl>
    <w:lvl w:ilvl="8" w:tplc="2230E8E6">
      <w:start w:val="1"/>
      <w:numFmt w:val="bullet"/>
      <w:lvlText w:val="●"/>
      <w:lvlJc w:val="left"/>
      <w:pPr>
        <w:ind w:left="6480" w:hanging="360"/>
      </w:pPr>
    </w:lvl>
  </w:abstractNum>
  <w:abstractNum w:abstractNumId="1" w15:restartNumberingAfterBreak="0">
    <w:nsid w:val="541F75CC"/>
    <w:multiLevelType w:val="hybridMultilevel"/>
    <w:tmpl w:val="DE24CA04"/>
    <w:lvl w:ilvl="0" w:tplc="94FAC2E4">
      <w:start w:val="1"/>
      <w:numFmt w:val="decimal"/>
      <w:lvlText w:val="%1."/>
      <w:lvlJc w:val="left"/>
      <w:pPr>
        <w:ind w:left="540" w:hanging="280"/>
      </w:pPr>
    </w:lvl>
    <w:lvl w:ilvl="1" w:tplc="615EDB62">
      <w:numFmt w:val="decimal"/>
      <w:lvlText w:val=""/>
      <w:lvlJc w:val="left"/>
    </w:lvl>
    <w:lvl w:ilvl="2" w:tplc="EE80693A">
      <w:numFmt w:val="decimal"/>
      <w:lvlText w:val=""/>
      <w:lvlJc w:val="left"/>
    </w:lvl>
    <w:lvl w:ilvl="3" w:tplc="3D1830C0">
      <w:numFmt w:val="decimal"/>
      <w:lvlText w:val=""/>
      <w:lvlJc w:val="left"/>
    </w:lvl>
    <w:lvl w:ilvl="4" w:tplc="9DAC687C">
      <w:numFmt w:val="decimal"/>
      <w:lvlText w:val=""/>
      <w:lvlJc w:val="left"/>
    </w:lvl>
    <w:lvl w:ilvl="5" w:tplc="DD3E3894">
      <w:numFmt w:val="decimal"/>
      <w:lvlText w:val=""/>
      <w:lvlJc w:val="left"/>
    </w:lvl>
    <w:lvl w:ilvl="6" w:tplc="F77E377E">
      <w:numFmt w:val="decimal"/>
      <w:lvlText w:val=""/>
      <w:lvlJc w:val="left"/>
    </w:lvl>
    <w:lvl w:ilvl="7" w:tplc="63AAE652">
      <w:numFmt w:val="decimal"/>
      <w:lvlText w:val=""/>
      <w:lvlJc w:val="left"/>
    </w:lvl>
    <w:lvl w:ilvl="8" w:tplc="8DD23BC8">
      <w:numFmt w:val="decimal"/>
      <w:lvlText w:val=""/>
      <w:lvlJc w:val="left"/>
    </w:lvl>
  </w:abstractNum>
  <w:abstractNum w:abstractNumId="2" w15:restartNumberingAfterBreak="0">
    <w:nsid w:val="747F7E79"/>
    <w:multiLevelType w:val="hybridMultilevel"/>
    <w:tmpl w:val="99E8F126"/>
    <w:lvl w:ilvl="0" w:tplc="00B8E4BC">
      <w:start w:val="1"/>
      <w:numFmt w:val="bullet"/>
      <w:lvlText w:val="•"/>
      <w:lvlJc w:val="left"/>
      <w:pPr>
        <w:ind w:left="540" w:hanging="280"/>
      </w:pPr>
    </w:lvl>
    <w:lvl w:ilvl="1" w:tplc="928A2200">
      <w:numFmt w:val="decimal"/>
      <w:lvlText w:val=""/>
      <w:lvlJc w:val="left"/>
    </w:lvl>
    <w:lvl w:ilvl="2" w:tplc="A2923E0A">
      <w:numFmt w:val="decimal"/>
      <w:lvlText w:val=""/>
      <w:lvlJc w:val="left"/>
    </w:lvl>
    <w:lvl w:ilvl="3" w:tplc="627A5372">
      <w:numFmt w:val="decimal"/>
      <w:lvlText w:val=""/>
      <w:lvlJc w:val="left"/>
    </w:lvl>
    <w:lvl w:ilvl="4" w:tplc="A8289D68">
      <w:numFmt w:val="decimal"/>
      <w:lvlText w:val=""/>
      <w:lvlJc w:val="left"/>
    </w:lvl>
    <w:lvl w:ilvl="5" w:tplc="2B581950">
      <w:numFmt w:val="decimal"/>
      <w:lvlText w:val=""/>
      <w:lvlJc w:val="left"/>
    </w:lvl>
    <w:lvl w:ilvl="6" w:tplc="7D464BA6">
      <w:numFmt w:val="decimal"/>
      <w:lvlText w:val=""/>
      <w:lvlJc w:val="left"/>
    </w:lvl>
    <w:lvl w:ilvl="7" w:tplc="AAB0B55E">
      <w:numFmt w:val="decimal"/>
      <w:lvlText w:val=""/>
      <w:lvlJc w:val="left"/>
    </w:lvl>
    <w:lvl w:ilvl="8" w:tplc="67464C62">
      <w:numFmt w:val="decimal"/>
      <w:lvlText w:val=""/>
      <w:lvlJc w:val="left"/>
    </w:lvl>
  </w:abstractNum>
  <w:num w:numId="1" w16cid:durableId="1656954294">
    <w:abstractNumId w:val="0"/>
    <w:lvlOverride w:ilvl="0">
      <w:startOverride w:val="1"/>
    </w:lvlOverride>
  </w:num>
  <w:num w:numId="2" w16cid:durableId="1519540309">
    <w:abstractNumId w:val="2"/>
    <w:lvlOverride w:ilvl="0">
      <w:startOverride w:val="1"/>
    </w:lvlOverride>
  </w:num>
  <w:num w:numId="3" w16cid:durableId="5368912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491"/>
    <w:rsid w:val="003C5491"/>
    <w:rsid w:val="0066419F"/>
    <w:rsid w:val="006A65CB"/>
    <w:rsid w:val="0094293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0439E"/>
  <w15:docId w15:val="{2A369866-2066-4EB9-A494-325D7BBB0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30"/>
      <w:szCs w:val="30"/>
    </w:rPr>
  </w:style>
  <w:style w:type="paragraph" w:styleId="Heading2">
    <w:name w:val="heading 2"/>
    <w:uiPriority w:val="9"/>
    <w:unhideWhenUsed/>
    <w:qFormat/>
    <w:pPr>
      <w:spacing w:before="180" w:after="80"/>
      <w:outlineLvl w:val="1"/>
    </w:pPr>
    <w:rPr>
      <w:b/>
      <w:bCs/>
      <w:color w:val="2C2C2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983</Words>
  <Characters>5604</Characters>
  <Application>Microsoft Office Word</Application>
  <DocSecurity>0</DocSecurity>
  <Lines>46</Lines>
  <Paragraphs>13</Paragraphs>
  <ScaleCrop>false</ScaleCrop>
  <Company/>
  <LinksUpToDate>false</LinksUpToDate>
  <CharactersWithSpaces>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Burhaan Kongisa</cp:lastModifiedBy>
  <cp:revision>2</cp:revision>
  <dcterms:created xsi:type="dcterms:W3CDTF">2026-06-27T17:18:00Z</dcterms:created>
  <dcterms:modified xsi:type="dcterms:W3CDTF">2026-06-27T18:26:00Z</dcterms:modified>
</cp:coreProperties>
</file>