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wright-logo.png"/>
                    <pic:cNvPicPr/>
                  </pic:nvPicPr>
                  <pic:blipFill>
                    <a:blip r:embed="rId10"/>
                    <a:stretch>
                      <a:fillRect/>
                    </a:stretch>
                  </pic:blipFill>
                  <pic:spPr>
                    <a:xfrm>
                      <a:off x="0" y="0"/>
                      <a:ext cx="475488" cy="475488"/>
                    </a:xfrm>
                    <a:prstGeom prst="rect"/>
                  </pic:spPr>
                </pic:pic>
              </a:graphicData>
            </a:graphic>
          </wp:inline>
        </w:drawing>
      </w:r>
    </w:p>
    <w:p>
      <w:pPr>
        <w:pStyle w:val="Title"/>
        <w:jc w:val="left"/>
      </w:pPr>
      <w:r>
        <w:t>Wright Engineering MCP Qualification Status Report</w:t>
      </w:r>
    </w:p>
    <w:p>
      <w:pPr>
        <w:spacing w:after="200"/>
      </w:pPr>
      <w:r>
        <w:rPr>
          <w:b/>
          <w:color w:val="0D9488"/>
          <w:sz w:val="26"/>
        </w:rPr>
        <w:t>Curated engineering integrations and verified product design chains</w:t>
      </w:r>
    </w:p>
    <w:p>
      <w:pPr>
        <w:spacing w:before="100" w:after="60"/>
        <w:jc w:val="center"/>
      </w:pPr>
      <w:r>
        <w:drawing>
          <wp:inline xmlns:a="http://schemas.openxmlformats.org/drawingml/2006/main" xmlns:pic="http://schemas.openxmlformats.org/drawingml/2006/picture">
            <wp:extent cx="6172200" cy="3471862"/>
            <wp:docPr id="2" name="Picture 2"/>
            <wp:cNvGraphicFramePr>
              <a:graphicFrameLocks noChangeAspect="1"/>
            </wp:cNvGraphicFramePr>
            <a:graphic>
              <a:graphicData uri="http://schemas.openxmlformats.org/drawingml/2006/picture">
                <pic:pic>
                  <pic:nvPicPr>
                    <pic:cNvPr id="0" name="cover-collage.png"/>
                    <pic:cNvPicPr/>
                  </pic:nvPicPr>
                  <pic:blipFill>
                    <a:blip r:embed="rId11"/>
                    <a:stretch>
                      <a:fillRect/>
                    </a:stretch>
                  </pic:blipFill>
                  <pic:spPr>
                    <a:xfrm>
                      <a:off x="0" y="0"/>
                      <a:ext cx="6172200" cy="3471862"/>
                    </a:xfrm>
                    <a:prstGeom prst="rect"/>
                  </pic:spPr>
                </pic:pic>
              </a:graphicData>
            </a:graphic>
          </wp:inline>
        </w:drawing>
      </w:r>
    </w:p>
    <w:p>
      <w:pPr>
        <w:pStyle w:val="Caption"/>
        <w:keepNext w:val="0"/>
        <w:jc w:val="center"/>
      </w:pPr>
      <w:r>
        <w:t>Captured outputs from BREP, OASiS, KiCad and the Wright process chain qualification.</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3389"/>
        <w:gridCol w:w="3389"/>
        <w:gridCol w:w="3389"/>
      </w:tblGrid>
      <w:tr>
        <w:tc>
          <w:tcPr>
            <w:tcW w:type="dxa" w:w="3264"/>
            <w:vAlign w:val="center"/>
            <w:tcMar>
              <w:top w:w="90" w:type="dxa"/>
              <w:start w:w="100" w:type="dxa"/>
              <w:bottom w:w="90" w:type="dxa"/>
              <w:end w:w="100" w:type="dxa"/>
            </w:tcMar>
          </w:tcPr>
          <w:p>
            <w:pPr>
              <w:spacing w:after="0"/>
              <w:jc w:val="center"/>
            </w:pPr>
            <w:r>
              <w:rPr>
                <w:b/>
                <w:color w:val="0D9488"/>
                <w:sz w:val="44"/>
              </w:rPr>
              <w:t>10</w:t>
            </w:r>
          </w:p>
          <w:p>
            <w:pPr>
              <w:spacing w:after="0"/>
              <w:jc w:val="center"/>
            </w:pPr>
            <w:r>
              <w:rPr>
                <w:color w:val="334155"/>
                <w:sz w:val="17"/>
              </w:rPr>
              <w:t>qualified MCP servers</w:t>
            </w:r>
          </w:p>
        </w:tc>
        <w:tc>
          <w:tcPr>
            <w:tcW w:type="dxa" w:w="3264"/>
            <w:vAlign w:val="center"/>
            <w:tcMar>
              <w:top w:w="90" w:type="dxa"/>
              <w:start w:w="100" w:type="dxa"/>
              <w:bottom w:w="90" w:type="dxa"/>
              <w:end w:w="100" w:type="dxa"/>
            </w:tcMar>
          </w:tcPr>
          <w:p>
            <w:pPr>
              <w:spacing w:after="0"/>
              <w:jc w:val="center"/>
            </w:pPr>
            <w:r>
              <w:rPr>
                <w:b/>
                <w:color w:val="0D9488"/>
                <w:sz w:val="44"/>
              </w:rPr>
              <w:t>3</w:t>
            </w:r>
          </w:p>
          <w:p>
            <w:pPr>
              <w:spacing w:after="0"/>
              <w:jc w:val="center"/>
            </w:pPr>
            <w:r>
              <w:rPr>
                <w:color w:val="334155"/>
                <w:sz w:val="17"/>
              </w:rPr>
              <w:t>verified design chains</w:t>
            </w:r>
          </w:p>
        </w:tc>
        <w:tc>
          <w:tcPr>
            <w:tcW w:type="dxa" w:w="3264"/>
            <w:vAlign w:val="center"/>
            <w:tcMar>
              <w:top w:w="90" w:type="dxa"/>
              <w:start w:w="100" w:type="dxa"/>
              <w:bottom w:w="90" w:type="dxa"/>
              <w:end w:w="100" w:type="dxa"/>
            </w:tcMar>
          </w:tcPr>
          <w:p>
            <w:pPr>
              <w:spacing w:after="0"/>
              <w:jc w:val="center"/>
            </w:pPr>
            <w:r>
              <w:rPr>
                <w:b/>
                <w:color w:val="0D9488"/>
                <w:sz w:val="44"/>
              </w:rPr>
              <w:t>30 of 30</w:t>
            </w:r>
          </w:p>
          <w:p>
            <w:pPr>
              <w:spacing w:after="0"/>
              <w:jc w:val="center"/>
            </w:pPr>
            <w:r>
              <w:rPr>
                <w:color w:val="334155"/>
                <w:sz w:val="17"/>
              </w:rPr>
              <w:t>successful MCP calls</w:t>
            </w:r>
          </w:p>
        </w:tc>
      </w:tr>
    </w:tbl>
    <w:p>
      <w:pPr>
        <w:spacing w:before="120"/>
      </w:pPr>
      <w:r>
        <w:rPr>
          <w:b/>
        </w:rPr>
        <w:t xml:space="preserve">Status. </w:t>
      </w:r>
      <w:r>
        <w:t>Wright now has a dependable core portfolio of ten engineering MCP servers. Five of those integrations were exercised together across three realistic product design chains, with every tool call, artifact handoff and independent output oracle passing.</w:t>
      </w:r>
    </w:p>
    <w:p>
      <w:r>
        <w:br w:type="page"/>
      </w:r>
    </w:p>
    <w:p>
      <w:pPr>
        <w:pStyle w:val="Heading1"/>
      </w:pPr>
      <w:r>
        <w:t>Current portfolio status</w:t>
      </w:r>
    </w:p>
    <w:p>
      <w:r>
        <w:t>The catalog contains 77 reviewed integrations. Ten meet the current curation policy, 55 remain in a controlled follow up queue, and 12 are marked for removal. Curation means the recorded qualification is current for its declared platform and operating scope; it does not claim universal host application or physical hardware coverage.</w:t>
      </w:r>
    </w:p>
    <w:p>
      <w:pPr>
        <w:spacing w:before="100" w:after="60"/>
        <w:jc w:val="center"/>
      </w:pPr>
      <w:r>
        <w:drawing>
          <wp:inline xmlns:a="http://schemas.openxmlformats.org/drawingml/2006/main" xmlns:pic="http://schemas.openxmlformats.org/drawingml/2006/picture">
            <wp:extent cx="5989320" cy="3223571"/>
            <wp:docPr id="3" name="Picture 3"/>
            <wp:cNvGraphicFramePr>
              <a:graphicFrameLocks noChangeAspect="1"/>
            </wp:cNvGraphicFramePr>
            <a:graphic>
              <a:graphicData uri="http://schemas.openxmlformats.org/drawingml/2006/picture">
                <pic:pic>
                  <pic:nvPicPr>
                    <pic:cNvPr id="0" name="portfolio-status.png"/>
                    <pic:cNvPicPr/>
                  </pic:nvPicPr>
                  <pic:blipFill>
                    <a:blip r:embed="rId12"/>
                    <a:stretch>
                      <a:fillRect/>
                    </a:stretch>
                  </pic:blipFill>
                  <pic:spPr>
                    <a:xfrm>
                      <a:off x="0" y="0"/>
                      <a:ext cx="5989320" cy="3223571"/>
                    </a:xfrm>
                    <a:prstGeom prst="rect"/>
                  </pic:spPr>
                </pic:pic>
              </a:graphicData>
            </a:graphic>
          </wp:inline>
        </w:drawing>
      </w:r>
    </w:p>
    <w:p>
      <w:pPr>
        <w:pStyle w:val="Caption"/>
        <w:keepNext w:val="0"/>
        <w:jc w:val="center"/>
      </w:pPr>
      <w:r>
        <w:t>Catalog disposition from the generated curation report dated 8 September 2026.</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3389"/>
        <w:gridCol w:w="3389"/>
        <w:gridCol w:w="3389"/>
      </w:tblGrid>
      <w:tr>
        <w:tc>
          <w:tcPr>
            <w:tcW w:type="dxa" w:w="3264"/>
            <w:vAlign w:val="center"/>
            <w:tcMar>
              <w:top w:w="90" w:type="dxa"/>
              <w:start w:w="100" w:type="dxa"/>
              <w:bottom w:w="90" w:type="dxa"/>
              <w:end w:w="100" w:type="dxa"/>
            </w:tcMar>
          </w:tcPr>
          <w:p>
            <w:pPr>
              <w:spacing w:after="0"/>
              <w:jc w:val="center"/>
            </w:pPr>
            <w:r>
              <w:rPr>
                <w:b/>
                <w:color w:val="0D9488"/>
                <w:sz w:val="44"/>
              </w:rPr>
              <w:t>114</w:t>
            </w:r>
          </w:p>
          <w:p>
            <w:pPr>
              <w:spacing w:after="0"/>
              <w:jc w:val="center"/>
            </w:pPr>
            <w:r>
              <w:rPr>
                <w:color w:val="334155"/>
                <w:sz w:val="17"/>
              </w:rPr>
              <w:t>tools visible in the chain workspace</w:t>
            </w:r>
          </w:p>
        </w:tc>
        <w:tc>
          <w:tcPr>
            <w:tcW w:type="dxa" w:w="3264"/>
            <w:vAlign w:val="center"/>
            <w:tcMar>
              <w:top w:w="90" w:type="dxa"/>
              <w:start w:w="100" w:type="dxa"/>
              <w:bottom w:w="90" w:type="dxa"/>
              <w:end w:w="100" w:type="dxa"/>
            </w:tcMar>
          </w:tcPr>
          <w:p>
            <w:pPr>
              <w:spacing w:after="0"/>
              <w:jc w:val="center"/>
            </w:pPr>
            <w:r>
              <w:rPr>
                <w:b/>
                <w:color w:val="0D9488"/>
                <w:sz w:val="44"/>
              </w:rPr>
              <w:t>7</w:t>
            </w:r>
          </w:p>
          <w:p>
            <w:pPr>
              <w:spacing w:after="0"/>
              <w:jc w:val="center"/>
            </w:pPr>
            <w:r>
              <w:rPr>
                <w:color w:val="334155"/>
                <w:sz w:val="17"/>
              </w:rPr>
              <w:t>accepted cross tool handoffs</w:t>
            </w:r>
          </w:p>
        </w:tc>
        <w:tc>
          <w:tcPr>
            <w:tcW w:type="dxa" w:w="3264"/>
            <w:vAlign w:val="center"/>
            <w:tcMar>
              <w:top w:w="90" w:type="dxa"/>
              <w:start w:w="100" w:type="dxa"/>
              <w:bottom w:w="90" w:type="dxa"/>
              <w:end w:w="100" w:type="dxa"/>
            </w:tcMar>
          </w:tcPr>
          <w:p>
            <w:pPr>
              <w:spacing w:after="0"/>
              <w:jc w:val="center"/>
            </w:pPr>
            <w:r>
              <w:rPr>
                <w:b/>
                <w:color w:val="0D9488"/>
                <w:sz w:val="44"/>
              </w:rPr>
              <w:t>7</w:t>
            </w:r>
          </w:p>
          <w:p>
            <w:pPr>
              <w:spacing w:after="0"/>
              <w:jc w:val="center"/>
            </w:pPr>
            <w:r>
              <w:rPr>
                <w:color w:val="334155"/>
                <w:sz w:val="17"/>
              </w:rPr>
              <w:t>corrupted manifests rejected</w:t>
            </w:r>
          </w:p>
        </w:tc>
      </w:tr>
    </w:tbl>
    <w:p>
      <w:pPr>
        <w:pStyle w:val="Heading2"/>
      </w:pPr>
      <w:r>
        <w:t>What the result supports</w:t>
      </w:r>
    </w:p>
    <w:p>
      <w:pPr>
        <w:pStyle w:val="ListBullet"/>
        <w:spacing w:after="80"/>
      </w:pPr>
      <w:r>
        <w:t>Wright can expose a selected engineering tool portfolio through its production gateway and workspace policy.</w:t>
      </w:r>
    </w:p>
    <w:p>
      <w:pPr>
        <w:pStyle w:val="ListBullet"/>
        <w:spacing w:after="80"/>
      </w:pPr>
      <w:r>
        <w:t>The selected servers can produce CAD, CAE, ECAD, fabrication, review and field evidence artifacts that independent parsers accept.</w:t>
      </w:r>
    </w:p>
    <w:p>
      <w:pPr>
        <w:pStyle w:val="ListBullet"/>
        <w:spacing w:after="80"/>
      </w:pPr>
      <w:r>
        <w:t>Artifact identities, revisions, units and hashes survive the transitions between tools.</w:t>
      </w:r>
    </w:p>
    <w:p>
      <w:r>
        <w:br w:type="page"/>
      </w:r>
    </w:p>
    <w:p>
      <w:pPr>
        <w:pStyle w:val="Heading1"/>
      </w:pPr>
      <w:r>
        <w:t>Qualified engineering MCP portfolio</w:t>
      </w:r>
    </w:p>
    <w:p>
      <w:r>
        <w:t>The current shortlist emphasizes CAD, simulation and engineering data. Each row below passed the qualification defined for its platform and scope.</w:t>
      </w:r>
    </w:p>
    <w:tbl>
      <w:tblPr>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2541"/>
        <w:gridCol w:w="2541"/>
        <w:gridCol w:w="2541"/>
        <w:gridCol w:w="2541"/>
      </w:tblGrid>
      <w:tr>
        <w:trPr>
          <w:tblHeader w:val="true"/>
        </w:trPr>
        <w:tc>
          <w:tcPr>
            <w:tcW w:type="dxa" w:w="576"/>
            <w:shd w:fill="0F172A"/>
            <w:tcMar>
              <w:top w:w="100" w:type="dxa"/>
              <w:start w:w="100" w:type="dxa"/>
              <w:bottom w:w="100" w:type="dxa"/>
              <w:end w:w="100" w:type="dxa"/>
            </w:tcMar>
            <w:vAlign w:val="center"/>
          </w:tcPr>
          <w:p>
            <w:pPr>
              <w:spacing w:after="0"/>
              <w:jc w:val="center"/>
            </w:pPr>
            <w:r>
              <w:rPr>
                <w:b/>
                <w:color w:val="FFFFFF"/>
                <w:sz w:val="16"/>
              </w:rPr>
              <w:t>No</w:t>
            </w:r>
          </w:p>
        </w:tc>
        <w:tc>
          <w:tcPr>
            <w:tcW w:type="dxa" w:w="3816"/>
            <w:shd w:fill="0F172A"/>
            <w:tcMar>
              <w:top w:w="100" w:type="dxa"/>
              <w:start w:w="100" w:type="dxa"/>
              <w:bottom w:w="100" w:type="dxa"/>
              <w:end w:w="100" w:type="dxa"/>
            </w:tcMar>
            <w:vAlign w:val="center"/>
          </w:tcPr>
          <w:p>
            <w:pPr>
              <w:spacing w:after="0"/>
              <w:jc w:val="left"/>
            </w:pPr>
            <w:r>
              <w:rPr>
                <w:b/>
                <w:color w:val="FFFFFF"/>
                <w:sz w:val="16"/>
              </w:rPr>
              <w:t>Integration</w:t>
            </w:r>
          </w:p>
        </w:tc>
        <w:tc>
          <w:tcPr>
            <w:tcW w:type="dxa" w:w="3672"/>
            <w:shd w:fill="0F172A"/>
            <w:tcMar>
              <w:top w:w="100" w:type="dxa"/>
              <w:start w:w="100" w:type="dxa"/>
              <w:bottom w:w="100" w:type="dxa"/>
              <w:end w:w="100" w:type="dxa"/>
            </w:tcMar>
            <w:vAlign w:val="center"/>
          </w:tcPr>
          <w:p>
            <w:pPr>
              <w:spacing w:after="0"/>
              <w:jc w:val="left"/>
            </w:pPr>
            <w:r>
              <w:rPr>
                <w:b/>
                <w:color w:val="FFFFFF"/>
                <w:sz w:val="16"/>
              </w:rPr>
              <w:t>Engineering coverage</w:t>
            </w:r>
          </w:p>
        </w:tc>
        <w:tc>
          <w:tcPr>
            <w:tcW w:type="dxa" w:w="1080"/>
            <w:shd w:fill="0F172A"/>
            <w:tcMar>
              <w:top w:w="100" w:type="dxa"/>
              <w:start w:w="100" w:type="dxa"/>
              <w:bottom w:w="100" w:type="dxa"/>
              <w:end w:w="100" w:type="dxa"/>
            </w:tcMar>
            <w:vAlign w:val="center"/>
          </w:tcPr>
          <w:p>
            <w:pPr>
              <w:spacing w:after="0"/>
              <w:jc w:val="left"/>
            </w:pPr>
            <w:r>
              <w:rPr>
                <w:b/>
                <w:color w:val="FFFFFF"/>
                <w:sz w:val="16"/>
              </w:rPr>
              <w:t>Status</w:t>
            </w:r>
          </w:p>
        </w:tc>
      </w:tr>
      <w:tr>
        <w:tc>
          <w:tcPr>
            <w:tcW w:type="dxa" w:w="576"/>
            <w:tcMar>
              <w:top w:w="95" w:type="dxa"/>
              <w:start w:w="100" w:type="dxa"/>
              <w:bottom w:w="95" w:type="dxa"/>
              <w:end w:w="100" w:type="dxa"/>
            </w:tcMar>
            <w:vAlign w:val="center"/>
          </w:tcPr>
          <w:p>
            <w:pPr>
              <w:spacing w:after="0"/>
              <w:jc w:val="center"/>
            </w:pPr>
            <w:r>
              <w:rPr>
                <w:color w:val="0F172A"/>
                <w:sz w:val="16"/>
              </w:rPr>
              <w:t>1</w:t>
            </w:r>
          </w:p>
        </w:tc>
        <w:tc>
          <w:tcPr>
            <w:tcW w:type="dxa" w:w="3816"/>
            <w:tcMar>
              <w:top w:w="95" w:type="dxa"/>
              <w:start w:w="100" w:type="dxa"/>
              <w:bottom w:w="95" w:type="dxa"/>
              <w:end w:w="100" w:type="dxa"/>
            </w:tcMar>
            <w:vAlign w:val="center"/>
          </w:tcPr>
          <w:p>
            <w:pPr>
              <w:spacing w:after="0"/>
              <w:jc w:val="left"/>
            </w:pPr>
            <w:r>
              <w:rPr>
                <w:color w:val="0F172A"/>
                <w:sz w:val="16"/>
              </w:rPr>
              <w:t>AutoCAD MCP Pro</w:t>
            </w:r>
          </w:p>
        </w:tc>
        <w:tc>
          <w:tcPr>
            <w:tcW w:type="dxa" w:w="3672"/>
            <w:tcMar>
              <w:top w:w="95" w:type="dxa"/>
              <w:start w:w="100" w:type="dxa"/>
              <w:bottom w:w="95" w:type="dxa"/>
              <w:end w:w="100" w:type="dxa"/>
            </w:tcMar>
            <w:vAlign w:val="center"/>
          </w:tcPr>
          <w:p>
            <w:pPr>
              <w:spacing w:after="0"/>
              <w:jc w:val="left"/>
            </w:pPr>
            <w:r>
              <w:rPr>
                <w:color w:val="0F172A"/>
                <w:sz w:val="16"/>
              </w:rPr>
              <w:t>design, manufacturing</w:t>
            </w:r>
          </w:p>
        </w:tc>
        <w:tc>
          <w:tcPr>
            <w:tcW w:type="dxa" w:w="1080"/>
            <w:tcMar>
              <w:top w:w="95" w:type="dxa"/>
              <w:start w:w="100" w:type="dxa"/>
              <w:bottom w:w="95" w:type="dxa"/>
              <w:end w:w="100" w:type="dxa"/>
            </w:tcMar>
            <w:vAlign w:val="center"/>
          </w:tcPr>
          <w:p>
            <w:pPr>
              <w:spacing w:after="0"/>
              <w:jc w:val="left"/>
            </w:pPr>
            <w:r>
              <w:rPr>
                <w:color w:val="0F172A"/>
                <w:sz w:val="16"/>
              </w:rPr>
              <w:t>passed</w:t>
            </w:r>
          </w:p>
        </w:tc>
      </w:tr>
      <w:tr>
        <w:tc>
          <w:tcPr>
            <w:tcW w:type="dxa" w:w="576"/>
            <w:shd w:fill="EFF6FF"/>
            <w:tcMar>
              <w:top w:w="95" w:type="dxa"/>
              <w:start w:w="100" w:type="dxa"/>
              <w:bottom w:w="95" w:type="dxa"/>
              <w:end w:w="100" w:type="dxa"/>
            </w:tcMar>
            <w:vAlign w:val="center"/>
          </w:tcPr>
          <w:p>
            <w:pPr>
              <w:spacing w:after="0"/>
              <w:jc w:val="center"/>
            </w:pPr>
            <w:r>
              <w:rPr>
                <w:color w:val="0F172A"/>
                <w:sz w:val="16"/>
              </w:rPr>
              <w:t>2</w:t>
            </w:r>
          </w:p>
        </w:tc>
        <w:tc>
          <w:tcPr>
            <w:tcW w:type="dxa" w:w="3816"/>
            <w:shd w:fill="EFF6FF"/>
            <w:tcMar>
              <w:top w:w="95" w:type="dxa"/>
              <w:start w:w="100" w:type="dxa"/>
              <w:bottom w:w="95" w:type="dxa"/>
              <w:end w:w="100" w:type="dxa"/>
            </w:tcMar>
            <w:vAlign w:val="center"/>
          </w:tcPr>
          <w:p>
            <w:pPr>
              <w:spacing w:after="0"/>
              <w:jc w:val="left"/>
            </w:pPr>
            <w:r>
              <w:rPr>
                <w:color w:val="0F172A"/>
                <w:sz w:val="16"/>
              </w:rPr>
              <w:t>Autodesk Product Help MCP</w:t>
            </w:r>
          </w:p>
        </w:tc>
        <w:tc>
          <w:tcPr>
            <w:tcW w:type="dxa" w:w="3672"/>
            <w:shd w:fill="EFF6FF"/>
            <w:tcMar>
              <w:top w:w="95" w:type="dxa"/>
              <w:start w:w="100" w:type="dxa"/>
              <w:bottom w:w="95" w:type="dxa"/>
              <w:end w:w="100" w:type="dxa"/>
            </w:tcMar>
            <w:vAlign w:val="center"/>
          </w:tcPr>
          <w:p>
            <w:pPr>
              <w:spacing w:after="0"/>
              <w:jc w:val="left"/>
            </w:pPr>
            <w:r>
              <w:rPr>
                <w:color w:val="0F172A"/>
                <w:sz w:val="16"/>
              </w:rPr>
              <w:t>requirements, design</w:t>
            </w:r>
          </w:p>
        </w:tc>
        <w:tc>
          <w:tcPr>
            <w:tcW w:type="dxa" w:w="1080"/>
            <w:shd w:fill="EFF6FF"/>
            <w:tcMar>
              <w:top w:w="95" w:type="dxa"/>
              <w:start w:w="100" w:type="dxa"/>
              <w:bottom w:w="95" w:type="dxa"/>
              <w:end w:w="100" w:type="dxa"/>
            </w:tcMar>
            <w:vAlign w:val="center"/>
          </w:tcPr>
          <w:p>
            <w:pPr>
              <w:spacing w:after="0"/>
              <w:jc w:val="left"/>
            </w:pPr>
            <w:r>
              <w:rPr>
                <w:color w:val="0F172A"/>
                <w:sz w:val="16"/>
              </w:rPr>
              <w:t>passed</w:t>
            </w:r>
          </w:p>
        </w:tc>
      </w:tr>
      <w:tr>
        <w:tc>
          <w:tcPr>
            <w:tcW w:type="dxa" w:w="576"/>
            <w:tcMar>
              <w:top w:w="95" w:type="dxa"/>
              <w:start w:w="100" w:type="dxa"/>
              <w:bottom w:w="95" w:type="dxa"/>
              <w:end w:w="100" w:type="dxa"/>
            </w:tcMar>
            <w:vAlign w:val="center"/>
          </w:tcPr>
          <w:p>
            <w:pPr>
              <w:spacing w:after="0"/>
              <w:jc w:val="center"/>
            </w:pPr>
            <w:r>
              <w:rPr>
                <w:color w:val="0F172A"/>
                <w:sz w:val="16"/>
              </w:rPr>
              <w:t>3</w:t>
            </w:r>
          </w:p>
        </w:tc>
        <w:tc>
          <w:tcPr>
            <w:tcW w:type="dxa" w:w="3816"/>
            <w:tcMar>
              <w:top w:w="95" w:type="dxa"/>
              <w:start w:w="100" w:type="dxa"/>
              <w:bottom w:w="95" w:type="dxa"/>
              <w:end w:w="100" w:type="dxa"/>
            </w:tcMar>
            <w:vAlign w:val="center"/>
          </w:tcPr>
          <w:p>
            <w:pPr>
              <w:spacing w:after="0"/>
              <w:jc w:val="left"/>
            </w:pPr>
            <w:r>
              <w:rPr>
                <w:color w:val="0F172A"/>
                <w:sz w:val="16"/>
              </w:rPr>
              <w:t>Blender 3D Mesh Copilot</w:t>
            </w:r>
          </w:p>
        </w:tc>
        <w:tc>
          <w:tcPr>
            <w:tcW w:type="dxa" w:w="3672"/>
            <w:tcMar>
              <w:top w:w="95" w:type="dxa"/>
              <w:start w:w="100" w:type="dxa"/>
              <w:bottom w:w="95" w:type="dxa"/>
              <w:end w:w="100" w:type="dxa"/>
            </w:tcMar>
            <w:vAlign w:val="center"/>
          </w:tcPr>
          <w:p>
            <w:pPr>
              <w:spacing w:after="0"/>
              <w:jc w:val="left"/>
            </w:pPr>
            <w:r>
              <w:rPr>
                <w:color w:val="0F172A"/>
                <w:sz w:val="16"/>
              </w:rPr>
              <w:t>design</w:t>
            </w:r>
          </w:p>
        </w:tc>
        <w:tc>
          <w:tcPr>
            <w:tcW w:type="dxa" w:w="1080"/>
            <w:tcMar>
              <w:top w:w="95" w:type="dxa"/>
              <w:start w:w="100" w:type="dxa"/>
              <w:bottom w:w="95" w:type="dxa"/>
              <w:end w:w="100" w:type="dxa"/>
            </w:tcMar>
            <w:vAlign w:val="center"/>
          </w:tcPr>
          <w:p>
            <w:pPr>
              <w:spacing w:after="0"/>
              <w:jc w:val="left"/>
            </w:pPr>
            <w:r>
              <w:rPr>
                <w:color w:val="0F172A"/>
                <w:sz w:val="16"/>
              </w:rPr>
              <w:t>passed</w:t>
            </w:r>
          </w:p>
        </w:tc>
      </w:tr>
      <w:tr>
        <w:tc>
          <w:tcPr>
            <w:tcW w:type="dxa" w:w="576"/>
            <w:shd w:fill="EFF6FF"/>
            <w:tcMar>
              <w:top w:w="95" w:type="dxa"/>
              <w:start w:w="100" w:type="dxa"/>
              <w:bottom w:w="95" w:type="dxa"/>
              <w:end w:w="100" w:type="dxa"/>
            </w:tcMar>
            <w:vAlign w:val="center"/>
          </w:tcPr>
          <w:p>
            <w:pPr>
              <w:spacing w:after="0"/>
              <w:jc w:val="center"/>
            </w:pPr>
            <w:r>
              <w:rPr>
                <w:color w:val="0F172A"/>
                <w:sz w:val="16"/>
              </w:rPr>
              <w:t>4</w:t>
            </w:r>
          </w:p>
        </w:tc>
        <w:tc>
          <w:tcPr>
            <w:tcW w:type="dxa" w:w="3816"/>
            <w:shd w:fill="EFF6FF"/>
            <w:tcMar>
              <w:top w:w="95" w:type="dxa"/>
              <w:start w:w="100" w:type="dxa"/>
              <w:bottom w:w="95" w:type="dxa"/>
              <w:end w:w="100" w:type="dxa"/>
            </w:tcMar>
            <w:vAlign w:val="center"/>
          </w:tcPr>
          <w:p>
            <w:pPr>
              <w:spacing w:after="0"/>
              <w:jc w:val="left"/>
            </w:pPr>
            <w:r>
              <w:rPr>
                <w:color w:val="0F172A"/>
                <w:sz w:val="16"/>
              </w:rPr>
              <w:t>BREP MCP</w:t>
            </w:r>
          </w:p>
        </w:tc>
        <w:tc>
          <w:tcPr>
            <w:tcW w:type="dxa" w:w="3672"/>
            <w:shd w:fill="EFF6FF"/>
            <w:tcMar>
              <w:top w:w="95" w:type="dxa"/>
              <w:start w:w="100" w:type="dxa"/>
              <w:bottom w:w="95" w:type="dxa"/>
              <w:end w:w="100" w:type="dxa"/>
            </w:tcMar>
            <w:vAlign w:val="center"/>
          </w:tcPr>
          <w:p>
            <w:pPr>
              <w:spacing w:after="0"/>
              <w:jc w:val="left"/>
            </w:pPr>
            <w:r>
              <w:rPr>
                <w:color w:val="0F172A"/>
                <w:sz w:val="16"/>
              </w:rPr>
              <w:t>design</w:t>
            </w:r>
          </w:p>
        </w:tc>
        <w:tc>
          <w:tcPr>
            <w:tcW w:type="dxa" w:w="1080"/>
            <w:shd w:fill="EFF6FF"/>
            <w:tcMar>
              <w:top w:w="95" w:type="dxa"/>
              <w:start w:w="100" w:type="dxa"/>
              <w:bottom w:w="95" w:type="dxa"/>
              <w:end w:w="100" w:type="dxa"/>
            </w:tcMar>
            <w:vAlign w:val="center"/>
          </w:tcPr>
          <w:p>
            <w:pPr>
              <w:spacing w:after="0"/>
              <w:jc w:val="left"/>
            </w:pPr>
            <w:r>
              <w:rPr>
                <w:color w:val="0F172A"/>
                <w:sz w:val="16"/>
              </w:rPr>
              <w:t>passed</w:t>
            </w:r>
          </w:p>
        </w:tc>
      </w:tr>
      <w:tr>
        <w:tc>
          <w:tcPr>
            <w:tcW w:type="dxa" w:w="576"/>
            <w:tcMar>
              <w:top w:w="95" w:type="dxa"/>
              <w:start w:w="100" w:type="dxa"/>
              <w:bottom w:w="95" w:type="dxa"/>
              <w:end w:w="100" w:type="dxa"/>
            </w:tcMar>
            <w:vAlign w:val="center"/>
          </w:tcPr>
          <w:p>
            <w:pPr>
              <w:spacing w:after="0"/>
              <w:jc w:val="center"/>
            </w:pPr>
            <w:r>
              <w:rPr>
                <w:color w:val="0F172A"/>
                <w:sz w:val="16"/>
              </w:rPr>
              <w:t>5</w:t>
            </w:r>
          </w:p>
        </w:tc>
        <w:tc>
          <w:tcPr>
            <w:tcW w:type="dxa" w:w="3816"/>
            <w:tcMar>
              <w:top w:w="95" w:type="dxa"/>
              <w:start w:w="100" w:type="dxa"/>
              <w:bottom w:w="95" w:type="dxa"/>
              <w:end w:w="100" w:type="dxa"/>
            </w:tcMar>
            <w:vAlign w:val="center"/>
          </w:tcPr>
          <w:p>
            <w:pPr>
              <w:spacing w:after="0"/>
              <w:jc w:val="left"/>
            </w:pPr>
            <w:r>
              <w:rPr>
                <w:color w:val="0F172A"/>
                <w:sz w:val="16"/>
              </w:rPr>
              <w:t>FreeCAD Python Server</w:t>
            </w:r>
          </w:p>
        </w:tc>
        <w:tc>
          <w:tcPr>
            <w:tcW w:type="dxa" w:w="3672"/>
            <w:tcMar>
              <w:top w:w="95" w:type="dxa"/>
              <w:start w:w="100" w:type="dxa"/>
              <w:bottom w:w="95" w:type="dxa"/>
              <w:end w:w="100" w:type="dxa"/>
            </w:tcMar>
            <w:vAlign w:val="center"/>
          </w:tcPr>
          <w:p>
            <w:pPr>
              <w:spacing w:after="0"/>
              <w:jc w:val="left"/>
            </w:pPr>
            <w:r>
              <w:rPr>
                <w:color w:val="0F172A"/>
                <w:sz w:val="16"/>
              </w:rPr>
              <w:t>design</w:t>
            </w:r>
          </w:p>
        </w:tc>
        <w:tc>
          <w:tcPr>
            <w:tcW w:type="dxa" w:w="1080"/>
            <w:tcMar>
              <w:top w:w="95" w:type="dxa"/>
              <w:start w:w="100" w:type="dxa"/>
              <w:bottom w:w="95" w:type="dxa"/>
              <w:end w:w="100" w:type="dxa"/>
            </w:tcMar>
            <w:vAlign w:val="center"/>
          </w:tcPr>
          <w:p>
            <w:pPr>
              <w:spacing w:after="0"/>
              <w:jc w:val="left"/>
            </w:pPr>
            <w:r>
              <w:rPr>
                <w:color w:val="0F172A"/>
                <w:sz w:val="16"/>
              </w:rPr>
              <w:t>passed</w:t>
            </w:r>
          </w:p>
        </w:tc>
      </w:tr>
      <w:tr>
        <w:tc>
          <w:tcPr>
            <w:tcW w:type="dxa" w:w="576"/>
            <w:shd w:fill="EFF6FF"/>
            <w:tcMar>
              <w:top w:w="95" w:type="dxa"/>
              <w:start w:w="100" w:type="dxa"/>
              <w:bottom w:w="95" w:type="dxa"/>
              <w:end w:w="100" w:type="dxa"/>
            </w:tcMar>
            <w:vAlign w:val="center"/>
          </w:tcPr>
          <w:p>
            <w:pPr>
              <w:spacing w:after="0"/>
              <w:jc w:val="center"/>
            </w:pPr>
            <w:r>
              <w:rPr>
                <w:color w:val="0F172A"/>
                <w:sz w:val="16"/>
              </w:rPr>
              <w:t>6</w:t>
            </w:r>
          </w:p>
        </w:tc>
        <w:tc>
          <w:tcPr>
            <w:tcW w:type="dxa" w:w="3816"/>
            <w:shd w:fill="EFF6FF"/>
            <w:tcMar>
              <w:top w:w="95" w:type="dxa"/>
              <w:start w:w="100" w:type="dxa"/>
              <w:bottom w:w="95" w:type="dxa"/>
              <w:end w:w="100" w:type="dxa"/>
            </w:tcMar>
            <w:vAlign w:val="center"/>
          </w:tcPr>
          <w:p>
            <w:pPr>
              <w:spacing w:after="0"/>
              <w:jc w:val="left"/>
            </w:pPr>
            <w:r>
              <w:rPr>
                <w:color w:val="0F172A"/>
                <w:sz w:val="16"/>
              </w:rPr>
              <w:t>KiCad MCP by blwfish</w:t>
            </w:r>
          </w:p>
        </w:tc>
        <w:tc>
          <w:tcPr>
            <w:tcW w:type="dxa" w:w="3672"/>
            <w:shd w:fill="EFF6FF"/>
            <w:tcMar>
              <w:top w:w="95" w:type="dxa"/>
              <w:start w:w="100" w:type="dxa"/>
              <w:bottom w:w="95" w:type="dxa"/>
              <w:end w:w="100" w:type="dxa"/>
            </w:tcMar>
            <w:vAlign w:val="center"/>
          </w:tcPr>
          <w:p>
            <w:pPr>
              <w:spacing w:after="0"/>
              <w:jc w:val="left"/>
            </w:pPr>
            <w:r>
              <w:rPr>
                <w:color w:val="0F172A"/>
                <w:sz w:val="16"/>
              </w:rPr>
              <w:t>design, manufacturing, test quality, release</w:t>
            </w:r>
          </w:p>
        </w:tc>
        <w:tc>
          <w:tcPr>
            <w:tcW w:type="dxa" w:w="1080"/>
            <w:shd w:fill="EFF6FF"/>
            <w:tcMar>
              <w:top w:w="95" w:type="dxa"/>
              <w:start w:w="100" w:type="dxa"/>
              <w:bottom w:w="95" w:type="dxa"/>
              <w:end w:w="100" w:type="dxa"/>
            </w:tcMar>
            <w:vAlign w:val="center"/>
          </w:tcPr>
          <w:p>
            <w:pPr>
              <w:spacing w:after="0"/>
              <w:jc w:val="left"/>
            </w:pPr>
            <w:r>
              <w:rPr>
                <w:color w:val="0F172A"/>
                <w:sz w:val="16"/>
              </w:rPr>
              <w:t>passed</w:t>
            </w:r>
          </w:p>
        </w:tc>
      </w:tr>
      <w:tr>
        <w:tc>
          <w:tcPr>
            <w:tcW w:type="dxa" w:w="576"/>
            <w:tcMar>
              <w:top w:w="95" w:type="dxa"/>
              <w:start w:w="100" w:type="dxa"/>
              <w:bottom w:w="95" w:type="dxa"/>
              <w:end w:w="100" w:type="dxa"/>
            </w:tcMar>
            <w:vAlign w:val="center"/>
          </w:tcPr>
          <w:p>
            <w:pPr>
              <w:spacing w:after="0"/>
              <w:jc w:val="center"/>
            </w:pPr>
            <w:r>
              <w:rPr>
                <w:color w:val="0F172A"/>
                <w:sz w:val="16"/>
              </w:rPr>
              <w:t>7</w:t>
            </w:r>
          </w:p>
        </w:tc>
        <w:tc>
          <w:tcPr>
            <w:tcW w:type="dxa" w:w="3816"/>
            <w:tcMar>
              <w:top w:w="95" w:type="dxa"/>
              <w:start w:w="100" w:type="dxa"/>
              <w:bottom w:w="95" w:type="dxa"/>
              <w:end w:w="100" w:type="dxa"/>
            </w:tcMar>
            <w:vAlign w:val="center"/>
          </w:tcPr>
          <w:p>
            <w:pPr>
              <w:spacing w:after="0"/>
              <w:jc w:val="left"/>
            </w:pPr>
            <w:r>
              <w:rPr>
                <w:color w:val="0F172A"/>
                <w:sz w:val="16"/>
              </w:rPr>
              <w:t>OASiS Open FEM Agent</w:t>
            </w:r>
          </w:p>
        </w:tc>
        <w:tc>
          <w:tcPr>
            <w:tcW w:type="dxa" w:w="3672"/>
            <w:tcMar>
              <w:top w:w="95" w:type="dxa"/>
              <w:start w:w="100" w:type="dxa"/>
              <w:bottom w:w="95" w:type="dxa"/>
              <w:end w:w="100" w:type="dxa"/>
            </w:tcMar>
            <w:vAlign w:val="center"/>
          </w:tcPr>
          <w:p>
            <w:pPr>
              <w:spacing w:after="0"/>
              <w:jc w:val="left"/>
            </w:pPr>
            <w:r>
              <w:rPr>
                <w:color w:val="0F172A"/>
                <w:sz w:val="16"/>
              </w:rPr>
              <w:t>simulation</w:t>
            </w:r>
          </w:p>
        </w:tc>
        <w:tc>
          <w:tcPr>
            <w:tcW w:type="dxa" w:w="1080"/>
            <w:tcMar>
              <w:top w:w="95" w:type="dxa"/>
              <w:start w:w="100" w:type="dxa"/>
              <w:bottom w:w="95" w:type="dxa"/>
              <w:end w:w="100" w:type="dxa"/>
            </w:tcMar>
            <w:vAlign w:val="center"/>
          </w:tcPr>
          <w:p>
            <w:pPr>
              <w:spacing w:after="0"/>
              <w:jc w:val="left"/>
            </w:pPr>
            <w:r>
              <w:rPr>
                <w:color w:val="0F172A"/>
                <w:sz w:val="16"/>
              </w:rPr>
              <w:t>passed</w:t>
            </w:r>
          </w:p>
        </w:tc>
      </w:tr>
      <w:tr>
        <w:tc>
          <w:tcPr>
            <w:tcW w:type="dxa" w:w="576"/>
            <w:shd w:fill="EFF6FF"/>
            <w:tcMar>
              <w:top w:w="95" w:type="dxa"/>
              <w:start w:w="100" w:type="dxa"/>
              <w:bottom w:w="95" w:type="dxa"/>
              <w:end w:w="100" w:type="dxa"/>
            </w:tcMar>
            <w:vAlign w:val="center"/>
          </w:tcPr>
          <w:p>
            <w:pPr>
              <w:spacing w:after="0"/>
              <w:jc w:val="center"/>
            </w:pPr>
            <w:r>
              <w:rPr>
                <w:color w:val="0F172A"/>
                <w:sz w:val="16"/>
              </w:rPr>
              <w:t>8</w:t>
            </w:r>
          </w:p>
        </w:tc>
        <w:tc>
          <w:tcPr>
            <w:tcW w:type="dxa" w:w="3816"/>
            <w:shd w:fill="EFF6FF"/>
            <w:tcMar>
              <w:top w:w="95" w:type="dxa"/>
              <w:start w:w="100" w:type="dxa"/>
              <w:bottom w:w="95" w:type="dxa"/>
              <w:end w:w="100" w:type="dxa"/>
            </w:tcMar>
            <w:vAlign w:val="center"/>
          </w:tcPr>
          <w:p>
            <w:pPr>
              <w:spacing w:after="0"/>
              <w:jc w:val="left"/>
            </w:pPr>
            <w:r>
              <w:rPr>
                <w:color w:val="0F172A"/>
                <w:sz w:val="16"/>
              </w:rPr>
              <w:t>OpenSCAD Rendering Engine</w:t>
            </w:r>
          </w:p>
        </w:tc>
        <w:tc>
          <w:tcPr>
            <w:tcW w:type="dxa" w:w="3672"/>
            <w:shd w:fill="EFF6FF"/>
            <w:tcMar>
              <w:top w:w="95" w:type="dxa"/>
              <w:start w:w="100" w:type="dxa"/>
              <w:bottom w:w="95" w:type="dxa"/>
              <w:end w:w="100" w:type="dxa"/>
            </w:tcMar>
            <w:vAlign w:val="center"/>
          </w:tcPr>
          <w:p>
            <w:pPr>
              <w:spacing w:after="0"/>
              <w:jc w:val="left"/>
            </w:pPr>
            <w:r>
              <w:rPr>
                <w:color w:val="0F172A"/>
                <w:sz w:val="16"/>
              </w:rPr>
              <w:t>design</w:t>
            </w:r>
          </w:p>
        </w:tc>
        <w:tc>
          <w:tcPr>
            <w:tcW w:type="dxa" w:w="1080"/>
            <w:shd w:fill="EFF6FF"/>
            <w:tcMar>
              <w:top w:w="95" w:type="dxa"/>
              <w:start w:w="100" w:type="dxa"/>
              <w:bottom w:w="95" w:type="dxa"/>
              <w:end w:w="100" w:type="dxa"/>
            </w:tcMar>
            <w:vAlign w:val="center"/>
          </w:tcPr>
          <w:p>
            <w:pPr>
              <w:spacing w:after="0"/>
              <w:jc w:val="left"/>
            </w:pPr>
            <w:r>
              <w:rPr>
                <w:color w:val="0F172A"/>
                <w:sz w:val="16"/>
              </w:rPr>
              <w:t>passed</w:t>
            </w:r>
          </w:p>
        </w:tc>
      </w:tr>
      <w:tr>
        <w:tc>
          <w:tcPr>
            <w:tcW w:type="dxa" w:w="576"/>
            <w:tcMar>
              <w:top w:w="95" w:type="dxa"/>
              <w:start w:w="100" w:type="dxa"/>
              <w:bottom w:w="95" w:type="dxa"/>
              <w:end w:w="100" w:type="dxa"/>
            </w:tcMar>
            <w:vAlign w:val="center"/>
          </w:tcPr>
          <w:p>
            <w:pPr>
              <w:spacing w:after="0"/>
              <w:jc w:val="center"/>
            </w:pPr>
            <w:r>
              <w:rPr>
                <w:color w:val="0F172A"/>
                <w:sz w:val="16"/>
              </w:rPr>
              <w:t>9</w:t>
            </w:r>
          </w:p>
        </w:tc>
        <w:tc>
          <w:tcPr>
            <w:tcW w:type="dxa" w:w="3816"/>
            <w:tcMar>
              <w:top w:w="95" w:type="dxa"/>
              <w:start w:w="100" w:type="dxa"/>
              <w:bottom w:w="95" w:type="dxa"/>
              <w:end w:w="100" w:type="dxa"/>
            </w:tcMar>
            <w:vAlign w:val="center"/>
          </w:tcPr>
          <w:p>
            <w:pPr>
              <w:spacing w:after="0"/>
              <w:jc w:val="left"/>
            </w:pPr>
            <w:r>
              <w:rPr>
                <w:color w:val="0F172A"/>
                <w:sz w:val="16"/>
              </w:rPr>
              <w:t>Rhino MCP</w:t>
            </w:r>
          </w:p>
        </w:tc>
        <w:tc>
          <w:tcPr>
            <w:tcW w:type="dxa" w:w="3672"/>
            <w:tcMar>
              <w:top w:w="95" w:type="dxa"/>
              <w:start w:w="100" w:type="dxa"/>
              <w:bottom w:w="95" w:type="dxa"/>
              <w:end w:w="100" w:type="dxa"/>
            </w:tcMar>
            <w:vAlign w:val="center"/>
          </w:tcPr>
          <w:p>
            <w:pPr>
              <w:spacing w:after="0"/>
              <w:jc w:val="left"/>
            </w:pPr>
            <w:r>
              <w:rPr>
                <w:color w:val="0F172A"/>
                <w:sz w:val="16"/>
              </w:rPr>
              <w:t>design</w:t>
            </w:r>
          </w:p>
        </w:tc>
        <w:tc>
          <w:tcPr>
            <w:tcW w:type="dxa" w:w="1080"/>
            <w:tcMar>
              <w:top w:w="95" w:type="dxa"/>
              <w:start w:w="100" w:type="dxa"/>
              <w:bottom w:w="95" w:type="dxa"/>
              <w:end w:w="100" w:type="dxa"/>
            </w:tcMar>
            <w:vAlign w:val="center"/>
          </w:tcPr>
          <w:p>
            <w:pPr>
              <w:spacing w:after="0"/>
              <w:jc w:val="left"/>
            </w:pPr>
            <w:r>
              <w:rPr>
                <w:color w:val="0F172A"/>
                <w:sz w:val="16"/>
              </w:rPr>
              <w:t>passed</w:t>
            </w:r>
          </w:p>
        </w:tc>
      </w:tr>
      <w:tr>
        <w:tc>
          <w:tcPr>
            <w:tcW w:type="dxa" w:w="576"/>
            <w:shd w:fill="EFF6FF"/>
            <w:tcMar>
              <w:top w:w="95" w:type="dxa"/>
              <w:start w:w="100" w:type="dxa"/>
              <w:bottom w:w="95" w:type="dxa"/>
              <w:end w:w="100" w:type="dxa"/>
            </w:tcMar>
            <w:vAlign w:val="center"/>
          </w:tcPr>
          <w:p>
            <w:pPr>
              <w:spacing w:after="0"/>
              <w:jc w:val="center"/>
            </w:pPr>
            <w:r>
              <w:rPr>
                <w:color w:val="0F172A"/>
                <w:sz w:val="16"/>
              </w:rPr>
              <w:t>10</w:t>
            </w:r>
          </w:p>
        </w:tc>
        <w:tc>
          <w:tcPr>
            <w:tcW w:type="dxa" w:w="3816"/>
            <w:shd w:fill="EFF6FF"/>
            <w:tcMar>
              <w:top w:w="95" w:type="dxa"/>
              <w:start w:w="100" w:type="dxa"/>
              <w:bottom w:w="95" w:type="dxa"/>
              <w:end w:w="100" w:type="dxa"/>
            </w:tcMar>
            <w:vAlign w:val="center"/>
          </w:tcPr>
          <w:p>
            <w:pPr>
              <w:spacing w:after="0"/>
              <w:jc w:val="left"/>
            </w:pPr>
            <w:r>
              <w:rPr>
                <w:color w:val="0F172A"/>
                <w:sz w:val="16"/>
              </w:rPr>
              <w:t>ROSBag MCP</w:t>
            </w:r>
          </w:p>
        </w:tc>
        <w:tc>
          <w:tcPr>
            <w:tcW w:type="dxa" w:w="3672"/>
            <w:shd w:fill="EFF6FF"/>
            <w:tcMar>
              <w:top w:w="95" w:type="dxa"/>
              <w:start w:w="100" w:type="dxa"/>
              <w:bottom w:w="95" w:type="dxa"/>
              <w:end w:w="100" w:type="dxa"/>
            </w:tcMar>
            <w:vAlign w:val="center"/>
          </w:tcPr>
          <w:p>
            <w:pPr>
              <w:spacing w:after="0"/>
              <w:jc w:val="left"/>
            </w:pPr>
            <w:r>
              <w:rPr>
                <w:color w:val="0F172A"/>
                <w:sz w:val="16"/>
              </w:rPr>
              <w:t>test quality, operations</w:t>
            </w:r>
          </w:p>
        </w:tc>
        <w:tc>
          <w:tcPr>
            <w:tcW w:type="dxa" w:w="1080"/>
            <w:shd w:fill="EFF6FF"/>
            <w:tcMar>
              <w:top w:w="95" w:type="dxa"/>
              <w:start w:w="100" w:type="dxa"/>
              <w:bottom w:w="95" w:type="dxa"/>
              <w:end w:w="100" w:type="dxa"/>
            </w:tcMar>
            <w:vAlign w:val="center"/>
          </w:tcPr>
          <w:p>
            <w:pPr>
              <w:spacing w:after="0"/>
              <w:jc w:val="left"/>
            </w:pPr>
            <w:r>
              <w:rPr>
                <w:color w:val="0F172A"/>
                <w:sz w:val="16"/>
              </w:rPr>
              <w:t>passed</w:t>
            </w:r>
          </w:p>
        </w:tc>
      </w:tr>
    </w:tbl>
    <w:p>
      <w:pPr>
        <w:pStyle w:val="Heading2"/>
      </w:pPr>
      <w:r>
        <w:t>Portfolio boundary</w:t>
      </w:r>
    </w:p>
    <w:p>
      <w:r>
        <w:t>The end to end chains use BREP MCP, OASiS Open FEM Agent, AutoCAD MCP Pro, KiCad MCP and ROSBag MCP. The other five qualified servers broaden requirements and design coverage and remain independently qualified until a future scenario requires them in a multi tool chain.</w:t>
      </w:r>
    </w:p>
    <w:p>
      <w:r>
        <w:br w:type="page"/>
      </w:r>
    </w:p>
    <w:p>
      <w:pPr>
        <w:pStyle w:val="Heading1"/>
      </w:pPr>
      <w:r>
        <w:t>Qualification and handoff method</w:t>
      </w:r>
    </w:p>
    <w:p>
      <w:r>
        <w:t>The authoritative run used Wright revision ef6503cf in a fresh disposable Linux container created from the recorded image digest. Only the selected prerequisites were installed in that container. The runner discovered live tool schemas, built a temporary Wright database and workspace, enabled only the five required servers, passed Wright approval checks, executed every call through GatewayService, and removed the temporary workspace after shutdown.</w:t>
      </w:r>
    </w:p>
    <w:p>
      <w:pPr>
        <w:spacing w:before="100" w:after="60"/>
        <w:jc w:val="center"/>
      </w:pPr>
      <w:r>
        <w:drawing>
          <wp:inline xmlns:a="http://schemas.openxmlformats.org/drawingml/2006/main" xmlns:pic="http://schemas.openxmlformats.org/drawingml/2006/picture">
            <wp:extent cx="6080760" cy="2973389"/>
            <wp:docPr id="4" name="Picture 4"/>
            <wp:cNvGraphicFramePr>
              <a:graphicFrameLocks noChangeAspect="1"/>
            </wp:cNvGraphicFramePr>
            <a:graphic>
              <a:graphicData uri="http://schemas.openxmlformats.org/drawingml/2006/picture">
                <pic:pic>
                  <pic:nvPicPr>
                    <pic:cNvPr id="0" name="workflow-overview.png"/>
                    <pic:cNvPicPr/>
                  </pic:nvPicPr>
                  <pic:blipFill>
                    <a:blip r:embed="rId13"/>
                    <a:stretch>
                      <a:fillRect/>
                    </a:stretch>
                  </pic:blipFill>
                  <pic:spPr>
                    <a:xfrm>
                      <a:off x="0" y="0"/>
                      <a:ext cx="6080760" cy="2973389"/>
                    </a:xfrm>
                    <a:prstGeom prst="rect"/>
                  </pic:spPr>
                </pic:pic>
              </a:graphicData>
            </a:graphic>
          </wp:inline>
        </w:drawing>
      </w:r>
    </w:p>
    <w:p>
      <w:pPr>
        <w:pStyle w:val="Caption"/>
        <w:keepNext w:val="0"/>
        <w:jc w:val="center"/>
      </w:pPr>
      <w:r>
        <w:t>Three product design chains executed through Wright. Each arrow represents a validated artifact handoff.</w:t>
      </w:r>
    </w:p>
    <w:tbl>
      <w:tblPr>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5083"/>
        <w:gridCol w:w="5083"/>
      </w:tblGrid>
      <w:tr>
        <w:trPr>
          <w:tblHeader w:val="true"/>
        </w:trPr>
        <w:tc>
          <w:tcPr>
            <w:tcW w:type="dxa" w:w="2880"/>
            <w:shd w:fill="0F172A"/>
            <w:tcMar>
              <w:top w:w="100" w:type="dxa"/>
              <w:start w:w="100" w:type="dxa"/>
              <w:bottom w:w="100" w:type="dxa"/>
              <w:end w:w="100" w:type="dxa"/>
            </w:tcMar>
            <w:vAlign w:val="center"/>
          </w:tcPr>
          <w:p>
            <w:pPr>
              <w:spacing w:after="0"/>
              <w:jc w:val="center"/>
            </w:pPr>
            <w:r>
              <w:rPr>
                <w:b/>
                <w:color w:val="FFFFFF"/>
                <w:sz w:val="17"/>
              </w:rPr>
              <w:t>Control</w:t>
            </w:r>
          </w:p>
        </w:tc>
        <w:tc>
          <w:tcPr>
            <w:tcW w:type="dxa" w:w="6192"/>
            <w:shd w:fill="0F172A"/>
            <w:tcMar>
              <w:top w:w="100" w:type="dxa"/>
              <w:start w:w="100" w:type="dxa"/>
              <w:bottom w:w="100" w:type="dxa"/>
              <w:end w:w="100" w:type="dxa"/>
            </w:tcMar>
            <w:vAlign w:val="center"/>
          </w:tcPr>
          <w:p>
            <w:pPr>
              <w:spacing w:after="0"/>
              <w:jc w:val="left"/>
            </w:pPr>
            <w:r>
              <w:rPr>
                <w:b/>
                <w:color w:val="FFFFFF"/>
                <w:sz w:val="17"/>
              </w:rPr>
              <w:t>Observed result</w:t>
            </w:r>
          </w:p>
        </w:tc>
      </w:tr>
      <w:tr>
        <w:tc>
          <w:tcPr>
            <w:tcW w:type="dxa" w:w="2880"/>
            <w:tcMar>
              <w:top w:w="95" w:type="dxa"/>
              <w:start w:w="100" w:type="dxa"/>
              <w:bottom w:w="95" w:type="dxa"/>
              <w:end w:w="100" w:type="dxa"/>
            </w:tcMar>
            <w:vAlign w:val="center"/>
          </w:tcPr>
          <w:p>
            <w:pPr>
              <w:spacing w:after="0"/>
              <w:jc w:val="center"/>
            </w:pPr>
            <w:r>
              <w:rPr>
                <w:color w:val="0F172A"/>
                <w:sz w:val="17"/>
              </w:rPr>
              <w:t>Gateway execution</w:t>
            </w:r>
          </w:p>
        </w:tc>
        <w:tc>
          <w:tcPr>
            <w:tcW w:type="dxa" w:w="6192"/>
            <w:tcMar>
              <w:top w:w="95" w:type="dxa"/>
              <w:start w:w="100" w:type="dxa"/>
              <w:bottom w:w="95" w:type="dxa"/>
              <w:end w:w="100" w:type="dxa"/>
            </w:tcMar>
            <w:vAlign w:val="center"/>
          </w:tcPr>
          <w:p>
            <w:pPr>
              <w:spacing w:after="0"/>
              <w:jc w:val="left"/>
            </w:pPr>
            <w:r>
              <w:rPr>
                <w:color w:val="0F172A"/>
                <w:sz w:val="17"/>
              </w:rPr>
              <w:t>30 calls passed; no failed calls</w:t>
            </w:r>
          </w:p>
        </w:tc>
      </w:tr>
      <w:tr>
        <w:tc>
          <w:tcPr>
            <w:tcW w:type="dxa" w:w="2880"/>
            <w:shd w:fill="EFF6FF"/>
            <w:tcMar>
              <w:top w:w="95" w:type="dxa"/>
              <w:start w:w="100" w:type="dxa"/>
              <w:bottom w:w="95" w:type="dxa"/>
              <w:end w:w="100" w:type="dxa"/>
            </w:tcMar>
            <w:vAlign w:val="center"/>
          </w:tcPr>
          <w:p>
            <w:pPr>
              <w:spacing w:after="0"/>
              <w:jc w:val="center"/>
            </w:pPr>
            <w:r>
              <w:rPr>
                <w:color w:val="0F172A"/>
                <w:sz w:val="17"/>
              </w:rPr>
              <w:t>Workspace scope</w:t>
            </w:r>
          </w:p>
        </w:tc>
        <w:tc>
          <w:tcPr>
            <w:tcW w:type="dxa" w:w="6192"/>
            <w:shd w:fill="EFF6FF"/>
            <w:tcMar>
              <w:top w:w="95" w:type="dxa"/>
              <w:start w:w="100" w:type="dxa"/>
              <w:bottom w:w="95" w:type="dxa"/>
              <w:end w:w="100" w:type="dxa"/>
            </w:tcMar>
            <w:vAlign w:val="center"/>
          </w:tcPr>
          <w:p>
            <w:pPr>
              <w:spacing w:after="0"/>
              <w:jc w:val="left"/>
            </w:pPr>
            <w:r>
              <w:rPr>
                <w:color w:val="0F172A"/>
                <w:sz w:val="17"/>
              </w:rPr>
              <w:t>5 enabled servers; 114 visible tools</w:t>
            </w:r>
          </w:p>
        </w:tc>
      </w:tr>
      <w:tr>
        <w:tc>
          <w:tcPr>
            <w:tcW w:type="dxa" w:w="2880"/>
            <w:tcMar>
              <w:top w:w="95" w:type="dxa"/>
              <w:start w:w="100" w:type="dxa"/>
              <w:bottom w:w="95" w:type="dxa"/>
              <w:end w:w="100" w:type="dxa"/>
            </w:tcMar>
            <w:vAlign w:val="center"/>
          </w:tcPr>
          <w:p>
            <w:pPr>
              <w:spacing w:after="0"/>
              <w:jc w:val="center"/>
            </w:pPr>
            <w:r>
              <w:rPr>
                <w:color w:val="0F172A"/>
                <w:sz w:val="17"/>
              </w:rPr>
              <w:t>Handoff integrity</w:t>
            </w:r>
          </w:p>
        </w:tc>
        <w:tc>
          <w:tcPr>
            <w:tcW w:type="dxa" w:w="6192"/>
            <w:tcMar>
              <w:top w:w="95" w:type="dxa"/>
              <w:start w:w="100" w:type="dxa"/>
              <w:bottom w:w="95" w:type="dxa"/>
              <w:end w:w="100" w:type="dxa"/>
            </w:tcMar>
            <w:vAlign w:val="center"/>
          </w:tcPr>
          <w:p>
            <w:pPr>
              <w:spacing w:after="0"/>
              <w:jc w:val="left"/>
            </w:pPr>
            <w:r>
              <w:rPr>
                <w:color w:val="0F172A"/>
                <w:sz w:val="17"/>
              </w:rPr>
              <w:t>7 accepted manifests; 7 corrupt variants rejected</w:t>
            </w:r>
          </w:p>
        </w:tc>
      </w:tr>
      <w:tr>
        <w:tc>
          <w:tcPr>
            <w:tcW w:type="dxa" w:w="2880"/>
            <w:shd w:fill="EFF6FF"/>
            <w:tcMar>
              <w:top w:w="95" w:type="dxa"/>
              <w:start w:w="100" w:type="dxa"/>
              <w:bottom w:w="95" w:type="dxa"/>
              <w:end w:w="100" w:type="dxa"/>
            </w:tcMar>
            <w:vAlign w:val="center"/>
          </w:tcPr>
          <w:p>
            <w:pPr>
              <w:spacing w:after="0"/>
              <w:jc w:val="center"/>
            </w:pPr>
            <w:r>
              <w:rPr>
                <w:color w:val="0F172A"/>
                <w:sz w:val="17"/>
              </w:rPr>
              <w:t>Cleanup</w:t>
            </w:r>
          </w:p>
        </w:tc>
        <w:tc>
          <w:tcPr>
            <w:tcW w:type="dxa" w:w="6192"/>
            <w:shd w:fill="EFF6FF"/>
            <w:tcMar>
              <w:top w:w="95" w:type="dxa"/>
              <w:start w:w="100" w:type="dxa"/>
              <w:bottom w:w="95" w:type="dxa"/>
              <w:end w:w="100" w:type="dxa"/>
            </w:tcMar>
            <w:vAlign w:val="center"/>
          </w:tcPr>
          <w:p>
            <w:pPr>
              <w:spacing w:after="0"/>
              <w:jc w:val="left"/>
            </w:pPr>
            <w:r>
              <w:rPr>
                <w:color w:val="0F172A"/>
                <w:sz w:val="17"/>
              </w:rPr>
              <w:t>Passed after all server processes stopped</w:t>
            </w:r>
          </w:p>
        </w:tc>
      </w:tr>
    </w:tbl>
    <w:p>
      <w:r>
        <w:br w:type="page"/>
      </w:r>
    </w:p>
    <w:p>
      <w:pPr>
        <w:pStyle w:val="Heading1"/>
      </w:pPr>
      <w:r>
        <w:t>Chain 1 Mechanical CAD to FEA to review drawing</w:t>
      </w:r>
    </w:p>
    <w:p>
      <w:r>
        <w:t>BREP MCP created an aluminum bracket with two mounting holes, OASiS performed a two dimensional equivalent solid section structural screening calculation, and AutoCAD MCP produced the review drawing. The handoff bound the geometry, material, units and revision before simulation and again before drawing review.</w:t>
      </w:r>
    </w:p>
    <w:p>
      <w:pPr>
        <w:spacing w:before="100" w:after="60"/>
        <w:jc w:val="center"/>
      </w:pPr>
      <w:r>
        <w:drawing>
          <wp:inline xmlns:a="http://schemas.openxmlformats.org/drawingml/2006/main" xmlns:pic="http://schemas.openxmlformats.org/drawingml/2006/picture">
            <wp:extent cx="5989320" cy="3660140"/>
            <wp:docPr id="5" name="Picture 5"/>
            <wp:cNvGraphicFramePr>
              <a:graphicFrameLocks noChangeAspect="1"/>
            </wp:cNvGraphicFramePr>
            <a:graphic>
              <a:graphicData uri="http://schemas.openxmlformats.org/drawingml/2006/picture">
                <pic:pic>
                  <pic:nvPicPr>
                    <pic:cNvPr id="0" name="mechanical-bracket.png"/>
                    <pic:cNvPicPr/>
                  </pic:nvPicPr>
                  <pic:blipFill>
                    <a:blip r:embed="rId14"/>
                    <a:stretch>
                      <a:fillRect/>
                    </a:stretch>
                  </pic:blipFill>
                  <pic:spPr>
                    <a:xfrm>
                      <a:off x="0" y="0"/>
                      <a:ext cx="5989320" cy="3660140"/>
                    </a:xfrm>
                    <a:prstGeom prst="rect"/>
                  </pic:spPr>
                </pic:pic>
              </a:graphicData>
            </a:graphic>
          </wp:inline>
        </w:drawing>
      </w:r>
    </w:p>
    <w:p>
      <w:pPr>
        <w:pStyle w:val="Caption"/>
        <w:keepNext w:val="0"/>
        <w:jc w:val="center"/>
      </w:pPr>
      <w:r>
        <w:t>Captured BREP STL. The 100 by 30 by 8 millimetre body contains two 4 millimetre radius through holes.</w:t>
      </w:r>
    </w:p>
    <w:p>
      <w:pPr>
        <w:spacing w:before="100" w:after="60"/>
        <w:jc w:val="center"/>
      </w:pPr>
      <w:r>
        <w:drawing>
          <wp:inline xmlns:a="http://schemas.openxmlformats.org/drawingml/2006/main" xmlns:pic="http://schemas.openxmlformats.org/drawingml/2006/picture">
            <wp:extent cx="5897880" cy="2129188"/>
            <wp:docPr id="6" name="Picture 6"/>
            <wp:cNvGraphicFramePr>
              <a:graphicFrameLocks noChangeAspect="1"/>
            </wp:cNvGraphicFramePr>
            <a:graphic>
              <a:graphicData uri="http://schemas.openxmlformats.org/drawingml/2006/picture">
                <pic:pic>
                  <pic:nvPicPr>
                    <pic:cNvPr id="0" name="mechanical-drawing.png"/>
                    <pic:cNvPicPr/>
                  </pic:nvPicPr>
                  <pic:blipFill>
                    <a:blip r:embed="rId15"/>
                    <a:stretch>
                      <a:fillRect/>
                    </a:stretch>
                  </pic:blipFill>
                  <pic:spPr>
                    <a:xfrm>
                      <a:off x="0" y="0"/>
                      <a:ext cx="5897880" cy="2129188"/>
                    </a:xfrm>
                    <a:prstGeom prst="rect"/>
                  </pic:spPr>
                </pic:pic>
              </a:graphicData>
            </a:graphic>
          </wp:inline>
        </w:drawing>
      </w:r>
    </w:p>
    <w:p>
      <w:pPr>
        <w:pStyle w:val="Caption"/>
        <w:keepNext w:val="0"/>
        <w:jc w:val="center"/>
      </w:pPr>
      <w:r>
        <w:t>Captured AutoCAD DXF geometry with the same envelope and hole locations.</w:t>
      </w:r>
    </w:p>
    <w:p>
      <w:r>
        <w:br w:type="page"/>
      </w:r>
    </w:p>
    <w:p>
      <w:pPr>
        <w:pStyle w:val="Heading1"/>
      </w:pPr>
      <w:r>
        <w:t>Chain 1 Structural screening result</w:t>
      </w:r>
    </w:p>
    <w:p>
      <w:pPr>
        <w:spacing w:before="100" w:after="60"/>
        <w:jc w:val="center"/>
      </w:pPr>
      <w:r>
        <w:drawing>
          <wp:inline xmlns:a="http://schemas.openxmlformats.org/drawingml/2006/main" xmlns:pic="http://schemas.openxmlformats.org/drawingml/2006/picture">
            <wp:extent cx="5989320" cy="3108894"/>
            <wp:docPr id="7" name="Picture 7"/>
            <wp:cNvGraphicFramePr>
              <a:graphicFrameLocks noChangeAspect="1"/>
            </wp:cNvGraphicFramePr>
            <a:graphic>
              <a:graphicData uri="http://schemas.openxmlformats.org/drawingml/2006/picture">
                <pic:pic>
                  <pic:nvPicPr>
                    <pic:cNvPr id="0" name="mechanical-fea.png"/>
                    <pic:cNvPicPr/>
                  </pic:nvPicPr>
                  <pic:blipFill>
                    <a:blip r:embed="rId16"/>
                    <a:stretch>
                      <a:fillRect/>
                    </a:stretch>
                  </pic:blipFill>
                  <pic:spPr>
                    <a:xfrm>
                      <a:off x="0" y="0"/>
                      <a:ext cx="5989320" cy="3108894"/>
                    </a:xfrm>
                    <a:prstGeom prst="rect"/>
                  </pic:spPr>
                </pic:pic>
              </a:graphicData>
            </a:graphic>
          </wp:inline>
        </w:drawing>
      </w:r>
    </w:p>
    <w:p>
      <w:pPr>
        <w:pStyle w:val="Caption"/>
        <w:keepNext w:val="0"/>
        <w:jc w:val="center"/>
      </w:pPr>
      <w:r>
        <w:t>Displacement magnitude rendered from the exact VTU file recorded in the authoritative evidence.</w:t>
      </w:r>
    </w:p>
    <w:tbl>
      <w:tblPr>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5083"/>
        <w:gridCol w:w="5083"/>
      </w:tblGrid>
      <w:tr>
        <w:trPr>
          <w:tblHeader w:val="true"/>
        </w:trPr>
        <w:tc>
          <w:tcPr>
            <w:tcW w:type="dxa" w:w="2880"/>
            <w:shd w:fill="0F172A"/>
            <w:tcMar>
              <w:top w:w="100" w:type="dxa"/>
              <w:start w:w="100" w:type="dxa"/>
              <w:bottom w:w="100" w:type="dxa"/>
              <w:end w:w="100" w:type="dxa"/>
            </w:tcMar>
            <w:vAlign w:val="center"/>
          </w:tcPr>
          <w:p>
            <w:pPr>
              <w:spacing w:after="0"/>
              <w:jc w:val="center"/>
            </w:pPr>
            <w:r>
              <w:rPr>
                <w:b/>
                <w:color w:val="FFFFFF"/>
                <w:sz w:val="17"/>
              </w:rPr>
              <w:t>Check</w:t>
            </w:r>
          </w:p>
        </w:tc>
        <w:tc>
          <w:tcPr>
            <w:tcW w:type="dxa" w:w="6192"/>
            <w:shd w:fill="0F172A"/>
            <w:tcMar>
              <w:top w:w="100" w:type="dxa"/>
              <w:start w:w="100" w:type="dxa"/>
              <w:bottom w:w="100" w:type="dxa"/>
              <w:end w:w="100" w:type="dxa"/>
            </w:tcMar>
            <w:vAlign w:val="center"/>
          </w:tcPr>
          <w:p>
            <w:pPr>
              <w:spacing w:after="0"/>
              <w:jc w:val="left"/>
            </w:pPr>
            <w:r>
              <w:rPr>
                <w:b/>
                <w:color w:val="FFFFFF"/>
                <w:sz w:val="17"/>
              </w:rPr>
              <w:t>Observed result</w:t>
            </w:r>
          </w:p>
        </w:tc>
      </w:tr>
      <w:tr>
        <w:tc>
          <w:tcPr>
            <w:tcW w:type="dxa" w:w="2880"/>
            <w:tcMar>
              <w:top w:w="95" w:type="dxa"/>
              <w:start w:w="100" w:type="dxa"/>
              <w:bottom w:w="95" w:type="dxa"/>
              <w:end w:w="100" w:type="dxa"/>
            </w:tcMar>
            <w:vAlign w:val="center"/>
          </w:tcPr>
          <w:p>
            <w:pPr>
              <w:spacing w:after="0"/>
              <w:jc w:val="center"/>
            </w:pPr>
            <w:r>
              <w:rPr>
                <w:color w:val="0F172A"/>
                <w:sz w:val="17"/>
              </w:rPr>
              <w:t>STL volume</w:t>
            </w:r>
          </w:p>
        </w:tc>
        <w:tc>
          <w:tcPr>
            <w:tcW w:type="dxa" w:w="6192"/>
            <w:tcMar>
              <w:top w:w="95" w:type="dxa"/>
              <w:start w:w="100" w:type="dxa"/>
              <w:bottom w:w="95" w:type="dxa"/>
              <w:end w:w="100" w:type="dxa"/>
            </w:tcMar>
            <w:vAlign w:val="center"/>
          </w:tcPr>
          <w:p>
            <w:pPr>
              <w:spacing w:after="0"/>
              <w:jc w:val="left"/>
            </w:pPr>
            <w:r>
              <w:rPr>
                <w:color w:val="0F172A"/>
                <w:sz w:val="17"/>
              </w:rPr>
              <w:t>23196.09 mm³; analytic expectation 23195.75 mm³</w:t>
            </w:r>
          </w:p>
        </w:tc>
      </w:tr>
      <w:tr>
        <w:tc>
          <w:tcPr>
            <w:tcW w:type="dxa" w:w="2880"/>
            <w:shd w:fill="EFF6FF"/>
            <w:tcMar>
              <w:top w:w="95" w:type="dxa"/>
              <w:start w:w="100" w:type="dxa"/>
              <w:bottom w:w="95" w:type="dxa"/>
              <w:end w:w="100" w:type="dxa"/>
            </w:tcMar>
            <w:vAlign w:val="center"/>
          </w:tcPr>
          <w:p>
            <w:pPr>
              <w:spacing w:after="0"/>
              <w:jc w:val="center"/>
            </w:pPr>
            <w:r>
              <w:rPr>
                <w:color w:val="0F172A"/>
                <w:sz w:val="17"/>
              </w:rPr>
              <w:t>Structural model</w:t>
            </w:r>
          </w:p>
        </w:tc>
        <w:tc>
          <w:tcPr>
            <w:tcW w:type="dxa" w:w="6192"/>
            <w:shd w:fill="EFF6FF"/>
            <w:tcMar>
              <w:top w:w="95" w:type="dxa"/>
              <w:start w:w="100" w:type="dxa"/>
              <w:bottom w:w="95" w:type="dxa"/>
              <w:end w:w="100" w:type="dxa"/>
            </w:tcMar>
            <w:vAlign w:val="center"/>
          </w:tcPr>
          <w:p>
            <w:pPr>
              <w:spacing w:after="0"/>
              <w:jc w:val="left"/>
            </w:pPr>
            <w:r>
              <w:rPr>
                <w:color w:val="0F172A"/>
                <w:sz w:val="17"/>
              </w:rPr>
              <w:t>41 by 13 node plane screening mesh; aluminum properties; 250 N end load</w:t>
            </w:r>
          </w:p>
        </w:tc>
      </w:tr>
      <w:tr>
        <w:tc>
          <w:tcPr>
            <w:tcW w:type="dxa" w:w="2880"/>
            <w:tcMar>
              <w:top w:w="95" w:type="dxa"/>
              <w:start w:w="100" w:type="dxa"/>
              <w:bottom w:w="95" w:type="dxa"/>
              <w:end w:w="100" w:type="dxa"/>
            </w:tcMar>
            <w:vAlign w:val="center"/>
          </w:tcPr>
          <w:p>
            <w:pPr>
              <w:spacing w:after="0"/>
              <w:jc w:val="center"/>
            </w:pPr>
            <w:r>
              <w:rPr>
                <w:color w:val="0F172A"/>
                <w:sz w:val="17"/>
              </w:rPr>
              <w:t>Maximum displacement</w:t>
            </w:r>
          </w:p>
        </w:tc>
        <w:tc>
          <w:tcPr>
            <w:tcW w:type="dxa" w:w="6192"/>
            <w:tcMar>
              <w:top w:w="95" w:type="dxa"/>
              <w:start w:w="100" w:type="dxa"/>
              <w:bottom w:w="95" w:type="dxa"/>
              <w:end w:w="100" w:type="dxa"/>
            </w:tcMar>
            <w:vAlign w:val="center"/>
          </w:tcPr>
          <w:p>
            <w:pPr>
              <w:spacing w:after="0"/>
              <w:jc w:val="left"/>
            </w:pPr>
            <w:r>
              <w:rPr>
                <w:color w:val="0F172A"/>
                <w:sz w:val="17"/>
              </w:rPr>
              <w:t>63.27 µm</w:t>
            </w:r>
          </w:p>
        </w:tc>
      </w:tr>
      <w:tr>
        <w:tc>
          <w:tcPr>
            <w:tcW w:type="dxa" w:w="2880"/>
            <w:shd w:fill="EFF6FF"/>
            <w:tcMar>
              <w:top w:w="95" w:type="dxa"/>
              <w:start w:w="100" w:type="dxa"/>
              <w:bottom w:w="95" w:type="dxa"/>
              <w:end w:w="100" w:type="dxa"/>
            </w:tcMar>
            <w:vAlign w:val="center"/>
          </w:tcPr>
          <w:p>
            <w:pPr>
              <w:spacing w:after="0"/>
              <w:jc w:val="center"/>
            </w:pPr>
            <w:r>
              <w:rPr>
                <w:color w:val="0F172A"/>
                <w:sz w:val="17"/>
              </w:rPr>
              <w:t>Fixed boundary</w:t>
            </w:r>
          </w:p>
        </w:tc>
        <w:tc>
          <w:tcPr>
            <w:tcW w:type="dxa" w:w="6192"/>
            <w:shd w:fill="EFF6FF"/>
            <w:tcMar>
              <w:top w:w="95" w:type="dxa"/>
              <w:start w:w="100" w:type="dxa"/>
              <w:bottom w:w="95" w:type="dxa"/>
              <w:end w:w="100" w:type="dxa"/>
            </w:tcMar>
            <w:vAlign w:val="center"/>
          </w:tcPr>
          <w:p>
            <w:pPr>
              <w:spacing w:after="0"/>
              <w:jc w:val="left"/>
            </w:pPr>
            <w:r>
              <w:rPr>
                <w:color w:val="0F172A"/>
                <w:sz w:val="17"/>
              </w:rPr>
              <w:t>0 micrometres maximum at constrained edge</w:t>
            </w:r>
          </w:p>
        </w:tc>
      </w:tr>
    </w:tbl>
    <w:p>
      <w:r>
        <w:rPr>
          <w:b/>
        </w:rPr>
        <w:t xml:space="preserve">Engineering limit. </w:t>
      </w:r>
      <w:r>
        <w:t>This is a screening model. It confirms the automated simulation and result handling behave coherently; physical validation, detailed joint treatment and mounting hole stress concentration remain outside this qualification.</w:t>
      </w:r>
    </w:p>
    <w:p>
      <w:r>
        <w:br w:type="page"/>
      </w:r>
    </w:p>
    <w:p>
      <w:pPr>
        <w:pStyle w:val="Heading1"/>
      </w:pPr>
      <w:r>
        <w:t>Chain 2 Electronics design to enclosure to thermal validation</w:t>
      </w:r>
    </w:p>
    <w:p>
      <w:r>
        <w:t>KiCad MCP created a 50 by 40 millimetre controller board and placed R1 at its center. It then audited the board and exported the complete fabrication package. BREP MCP consumed the board envelope to generate a 60 by 50 by 15 millimetre enclosure envelope.</w:t>
      </w:r>
    </w:p>
    <w:p>
      <w:pPr>
        <w:spacing w:before="100" w:after="60"/>
        <w:jc w:val="center"/>
      </w:pPr>
      <w:r>
        <w:drawing>
          <wp:inline xmlns:a="http://schemas.openxmlformats.org/drawingml/2006/main" xmlns:pic="http://schemas.openxmlformats.org/drawingml/2006/picture">
            <wp:extent cx="4983480" cy="3314803"/>
            <wp:docPr id="8" name="Picture 8"/>
            <wp:cNvGraphicFramePr>
              <a:graphicFrameLocks noChangeAspect="1"/>
            </wp:cNvGraphicFramePr>
            <a:graphic>
              <a:graphicData uri="http://schemas.openxmlformats.org/drawingml/2006/picture">
                <pic:pic>
                  <pic:nvPicPr>
                    <pic:cNvPr id="0" name="controller-pcb-3d.png"/>
                    <pic:cNvPicPr/>
                  </pic:nvPicPr>
                  <pic:blipFill>
                    <a:blip r:embed="rId17"/>
                    <a:stretch>
                      <a:fillRect/>
                    </a:stretch>
                  </pic:blipFill>
                  <pic:spPr>
                    <a:xfrm>
                      <a:off x="0" y="0"/>
                      <a:ext cx="4983480" cy="3314803"/>
                    </a:xfrm>
                    <a:prstGeom prst="rect"/>
                  </pic:spPr>
                </pic:pic>
              </a:graphicData>
            </a:graphic>
          </wp:inline>
        </w:drawing>
      </w:r>
    </w:p>
    <w:p>
      <w:pPr>
        <w:pStyle w:val="Caption"/>
        <w:keepNext w:val="0"/>
        <w:jc w:val="center"/>
      </w:pPr>
      <w:r>
        <w:t>KiCad 3D render of the captured PCB output with R1 at the board center.</w:t>
      </w:r>
    </w:p>
    <w:p>
      <w:pPr>
        <w:spacing w:before="100" w:after="60"/>
        <w:jc w:val="center"/>
      </w:pPr>
      <w:r>
        <w:drawing>
          <wp:inline xmlns:a="http://schemas.openxmlformats.org/drawingml/2006/main" xmlns:pic="http://schemas.openxmlformats.org/drawingml/2006/picture">
            <wp:extent cx="3977639" cy="2430779"/>
            <wp:docPr id="9" name="Picture 9"/>
            <wp:cNvGraphicFramePr>
              <a:graphicFrameLocks noChangeAspect="1"/>
            </wp:cNvGraphicFramePr>
            <a:graphic>
              <a:graphicData uri="http://schemas.openxmlformats.org/drawingml/2006/picture">
                <pic:pic>
                  <pic:nvPicPr>
                    <pic:cNvPr id="0" name="electronics-enclosure.png"/>
                    <pic:cNvPicPr/>
                  </pic:nvPicPr>
                  <pic:blipFill>
                    <a:blip r:embed="rId18"/>
                    <a:stretch>
                      <a:fillRect/>
                    </a:stretch>
                  </pic:blipFill>
                  <pic:spPr>
                    <a:xfrm>
                      <a:off x="0" y="0"/>
                      <a:ext cx="3977639" cy="2430779"/>
                    </a:xfrm>
                    <a:prstGeom prst="rect"/>
                  </pic:spPr>
                </pic:pic>
              </a:graphicData>
            </a:graphic>
          </wp:inline>
        </w:drawing>
      </w:r>
    </w:p>
    <w:p>
      <w:pPr>
        <w:pStyle w:val="Caption"/>
        <w:keepNext w:val="0"/>
        <w:jc w:val="center"/>
      </w:pPr>
      <w:r>
        <w:t>Captured BREP enclosure envelope used by the thermal handoff.</w:t>
      </w:r>
    </w:p>
    <w:p>
      <w:r>
        <w:br w:type="page"/>
      </w:r>
    </w:p>
    <w:p>
      <w:pPr>
        <w:pStyle w:val="Heading1"/>
      </w:pPr>
      <w:r>
        <w:t>Chain 2 Thermal and test evidence</w:t>
      </w:r>
    </w:p>
    <w:p>
      <w:pPr>
        <w:spacing w:before="100" w:after="60"/>
        <w:jc w:val="center"/>
      </w:pPr>
      <w:r>
        <w:drawing>
          <wp:inline xmlns:a="http://schemas.openxmlformats.org/drawingml/2006/main" xmlns:pic="http://schemas.openxmlformats.org/drawingml/2006/picture">
            <wp:extent cx="5394960" cy="3987037"/>
            <wp:docPr id="10" name="Picture 10"/>
            <wp:cNvGraphicFramePr>
              <a:graphicFrameLocks noChangeAspect="1"/>
            </wp:cNvGraphicFramePr>
            <a:graphic>
              <a:graphicData uri="http://schemas.openxmlformats.org/drawingml/2006/picture">
                <pic:pic>
                  <pic:nvPicPr>
                    <pic:cNvPr id="0" name="electronics-thermal.png"/>
                    <pic:cNvPicPr/>
                  </pic:nvPicPr>
                  <pic:blipFill>
                    <a:blip r:embed="rId19"/>
                    <a:stretch>
                      <a:fillRect/>
                    </a:stretch>
                  </pic:blipFill>
                  <pic:spPr>
                    <a:xfrm>
                      <a:off x="0" y="0"/>
                      <a:ext cx="5394960" cy="3987037"/>
                    </a:xfrm>
                    <a:prstGeom prst="rect"/>
                  </pic:spPr>
                </pic:pic>
              </a:graphicData>
            </a:graphic>
          </wp:inline>
        </w:drawing>
      </w:r>
    </w:p>
    <w:p>
      <w:pPr>
        <w:pStyle w:val="Caption"/>
        <w:keepNext w:val="0"/>
        <w:jc w:val="center"/>
      </w:pPr>
      <w:r>
        <w:t>Temperature field rendered from the exact VTU file recorded in the authoritative evidence.</w:t>
      </w:r>
    </w:p>
    <w:tbl>
      <w:tblPr>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5083"/>
        <w:gridCol w:w="5083"/>
      </w:tblGrid>
      <w:tr>
        <w:trPr>
          <w:tblHeader w:val="true"/>
        </w:trPr>
        <w:tc>
          <w:tcPr>
            <w:tcW w:type="dxa" w:w="2880"/>
            <w:shd w:fill="0F172A"/>
            <w:tcMar>
              <w:top w:w="100" w:type="dxa"/>
              <w:start w:w="100" w:type="dxa"/>
              <w:bottom w:w="100" w:type="dxa"/>
              <w:end w:w="100" w:type="dxa"/>
            </w:tcMar>
            <w:vAlign w:val="center"/>
          </w:tcPr>
          <w:p>
            <w:pPr>
              <w:spacing w:after="0"/>
              <w:jc w:val="center"/>
            </w:pPr>
            <w:r>
              <w:rPr>
                <w:b/>
                <w:color w:val="FFFFFF"/>
                <w:sz w:val="17"/>
              </w:rPr>
              <w:t>Check</w:t>
            </w:r>
          </w:p>
        </w:tc>
        <w:tc>
          <w:tcPr>
            <w:tcW w:type="dxa" w:w="6192"/>
            <w:shd w:fill="0F172A"/>
            <w:tcMar>
              <w:top w:w="100" w:type="dxa"/>
              <w:start w:w="100" w:type="dxa"/>
              <w:bottom w:w="100" w:type="dxa"/>
              <w:end w:w="100" w:type="dxa"/>
            </w:tcMar>
            <w:vAlign w:val="center"/>
          </w:tcPr>
          <w:p>
            <w:pPr>
              <w:spacing w:after="0"/>
              <w:jc w:val="left"/>
            </w:pPr>
            <w:r>
              <w:rPr>
                <w:b/>
                <w:color w:val="FFFFFF"/>
                <w:sz w:val="17"/>
              </w:rPr>
              <w:t>Observed result</w:t>
            </w:r>
          </w:p>
        </w:tc>
      </w:tr>
      <w:tr>
        <w:tc>
          <w:tcPr>
            <w:tcW w:type="dxa" w:w="2880"/>
            <w:tcMar>
              <w:top w:w="95" w:type="dxa"/>
              <w:start w:w="100" w:type="dxa"/>
              <w:bottom w:w="95" w:type="dxa"/>
              <w:end w:w="100" w:type="dxa"/>
            </w:tcMar>
            <w:vAlign w:val="center"/>
          </w:tcPr>
          <w:p>
            <w:pPr>
              <w:spacing w:after="0"/>
              <w:jc w:val="center"/>
            </w:pPr>
            <w:r>
              <w:rPr>
                <w:color w:val="0F172A"/>
                <w:sz w:val="17"/>
              </w:rPr>
              <w:t>Fabrication package</w:t>
            </w:r>
          </w:p>
        </w:tc>
        <w:tc>
          <w:tcPr>
            <w:tcW w:type="dxa" w:w="6192"/>
            <w:tcMar>
              <w:top w:w="95" w:type="dxa"/>
              <w:start w:w="100" w:type="dxa"/>
              <w:bottom w:w="95" w:type="dxa"/>
              <w:end w:w="100" w:type="dxa"/>
            </w:tcMar>
            <w:vAlign w:val="center"/>
          </w:tcPr>
          <w:p>
            <w:pPr>
              <w:spacing w:after="0"/>
              <w:jc w:val="left"/>
            </w:pPr>
            <w:r>
              <w:rPr>
                <w:color w:val="0F172A"/>
                <w:sz w:val="17"/>
              </w:rPr>
              <w:t>24 Gerber plots and 1 drill file in a ZIP archive</w:t>
            </w:r>
          </w:p>
        </w:tc>
      </w:tr>
      <w:tr>
        <w:tc>
          <w:tcPr>
            <w:tcW w:type="dxa" w:w="2880"/>
            <w:shd w:fill="EFF6FF"/>
            <w:tcMar>
              <w:top w:w="95" w:type="dxa"/>
              <w:start w:w="100" w:type="dxa"/>
              <w:bottom w:w="95" w:type="dxa"/>
              <w:end w:w="100" w:type="dxa"/>
            </w:tcMar>
            <w:vAlign w:val="center"/>
          </w:tcPr>
          <w:p>
            <w:pPr>
              <w:spacing w:after="0"/>
              <w:jc w:val="center"/>
            </w:pPr>
            <w:r>
              <w:rPr>
                <w:color w:val="0F172A"/>
                <w:sz w:val="17"/>
              </w:rPr>
              <w:t>Boundary temperature</w:t>
            </w:r>
          </w:p>
        </w:tc>
        <w:tc>
          <w:tcPr>
            <w:tcW w:type="dxa" w:w="6192"/>
            <w:shd w:fill="EFF6FF"/>
            <w:tcMar>
              <w:top w:w="95" w:type="dxa"/>
              <w:start w:w="100" w:type="dxa"/>
              <w:bottom w:w="95" w:type="dxa"/>
              <w:end w:w="100" w:type="dxa"/>
            </w:tcMar>
            <w:vAlign w:val="center"/>
          </w:tcPr>
          <w:p>
            <w:pPr>
              <w:spacing w:after="0"/>
              <w:jc w:val="left"/>
            </w:pPr>
            <w:r>
              <w:rPr>
                <w:color w:val="0F172A"/>
                <w:sz w:val="17"/>
              </w:rPr>
              <w:t>298.15 K  |  25.00 °C</w:t>
            </w:r>
          </w:p>
        </w:tc>
      </w:tr>
      <w:tr>
        <w:tc>
          <w:tcPr>
            <w:tcW w:type="dxa" w:w="2880"/>
            <w:tcMar>
              <w:top w:w="95" w:type="dxa"/>
              <w:start w:w="100" w:type="dxa"/>
              <w:bottom w:w="95" w:type="dxa"/>
              <w:end w:w="100" w:type="dxa"/>
            </w:tcMar>
            <w:vAlign w:val="center"/>
          </w:tcPr>
          <w:p>
            <w:pPr>
              <w:spacing w:after="0"/>
              <w:jc w:val="center"/>
            </w:pPr>
            <w:r>
              <w:rPr>
                <w:color w:val="0F172A"/>
                <w:sz w:val="17"/>
              </w:rPr>
              <w:t>Maximum temperature</w:t>
            </w:r>
          </w:p>
        </w:tc>
        <w:tc>
          <w:tcPr>
            <w:tcW w:type="dxa" w:w="6192"/>
            <w:tcMar>
              <w:top w:w="95" w:type="dxa"/>
              <w:start w:w="100" w:type="dxa"/>
              <w:bottom w:w="95" w:type="dxa"/>
              <w:end w:w="100" w:type="dxa"/>
            </w:tcMar>
            <w:vAlign w:val="center"/>
          </w:tcPr>
          <w:p>
            <w:pPr>
              <w:spacing w:after="0"/>
              <w:jc w:val="left"/>
            </w:pPr>
            <w:r>
              <w:rPr>
                <w:color w:val="0F172A"/>
                <w:sz w:val="17"/>
              </w:rPr>
              <w:t>320.514 K  |  47.36 °C</w:t>
            </w:r>
          </w:p>
        </w:tc>
      </w:tr>
      <w:tr>
        <w:tc>
          <w:tcPr>
            <w:tcW w:type="dxa" w:w="2880"/>
            <w:shd w:fill="EFF6FF"/>
            <w:tcMar>
              <w:top w:w="95" w:type="dxa"/>
              <w:start w:w="100" w:type="dxa"/>
              <w:bottom w:w="95" w:type="dxa"/>
              <w:end w:w="100" w:type="dxa"/>
            </w:tcMar>
            <w:vAlign w:val="center"/>
          </w:tcPr>
          <w:p>
            <w:pPr>
              <w:spacing w:after="0"/>
              <w:jc w:val="center"/>
            </w:pPr>
            <w:r>
              <w:rPr>
                <w:color w:val="0F172A"/>
                <w:sz w:val="17"/>
              </w:rPr>
              <w:t>Validation limit</w:t>
            </w:r>
          </w:p>
        </w:tc>
        <w:tc>
          <w:tcPr>
            <w:tcW w:type="dxa" w:w="6192"/>
            <w:shd w:fill="EFF6FF"/>
            <w:tcMar>
              <w:top w:w="95" w:type="dxa"/>
              <w:start w:w="100" w:type="dxa"/>
              <w:bottom w:w="95" w:type="dxa"/>
              <w:end w:w="100" w:type="dxa"/>
            </w:tcMar>
            <w:vAlign w:val="center"/>
          </w:tcPr>
          <w:p>
            <w:pPr>
              <w:spacing w:after="0"/>
              <w:jc w:val="left"/>
            </w:pPr>
            <w:r>
              <w:rPr>
                <w:color w:val="0F172A"/>
                <w:sz w:val="17"/>
              </w:rPr>
              <w:t>358.15 K  |  85.00 °C  |  passed</w:t>
            </w:r>
          </w:p>
        </w:tc>
      </w:tr>
      <w:tr>
        <w:tc>
          <w:tcPr>
            <w:tcW w:type="dxa" w:w="2880"/>
            <w:tcMar>
              <w:top w:w="95" w:type="dxa"/>
              <w:start w:w="100" w:type="dxa"/>
              <w:bottom w:w="95" w:type="dxa"/>
              <w:end w:w="100" w:type="dxa"/>
            </w:tcMar>
            <w:vAlign w:val="center"/>
          </w:tcPr>
          <w:p>
            <w:pPr>
              <w:spacing w:after="0"/>
              <w:jc w:val="center"/>
            </w:pPr>
            <w:r>
              <w:rPr>
                <w:color w:val="0F172A"/>
                <w:sz w:val="17"/>
              </w:rPr>
              <w:t>ROS trace</w:t>
            </w:r>
          </w:p>
        </w:tc>
        <w:tc>
          <w:tcPr>
            <w:tcW w:type="dxa" w:w="6192"/>
            <w:tcMar>
              <w:top w:w="95" w:type="dxa"/>
              <w:start w:w="100" w:type="dxa"/>
              <w:bottom w:w="95" w:type="dxa"/>
              <w:end w:w="100" w:type="dxa"/>
            </w:tcMar>
            <w:vAlign w:val="center"/>
          </w:tcPr>
          <w:p>
            <w:pPr>
              <w:spacing w:after="0"/>
              <w:jc w:val="left"/>
            </w:pPr>
            <w:r>
              <w:rPr>
                <w:color w:val="0F172A"/>
                <w:sz w:val="17"/>
              </w:rPr>
              <w:t>Returned the design ID, revision and board, enclosure and simulation hashes</w:t>
            </w:r>
          </w:p>
        </w:tc>
      </w:tr>
    </w:tbl>
    <w:p>
      <w:r>
        <w:rPr>
          <w:b/>
        </w:rPr>
        <w:t xml:space="preserve">Engineering limit. </w:t>
      </w:r>
      <w:r>
        <w:t>The thermal solve is a board level screening case with fixed ambient edges and a uniform source term. It proves the chain and evidence binding, not a detailed electronics thermal design.</w:t>
      </w:r>
    </w:p>
    <w:p>
      <w:r>
        <w:br w:type="page"/>
      </w:r>
    </w:p>
    <w:p>
      <w:pPr>
        <w:pStyle w:val="Heading1"/>
      </w:pPr>
      <w:r>
        <w:t>Chain 3 Field evidence to controlled revision</w:t>
      </w:r>
    </w:p>
    <w:p>
      <w:r>
        <w:t>AutoCAD MCP produced revision A of a field bracket. ROSBag MCP retrieved a deterministic test record for that exact drawing revision. The measured deflection exceeded the allowable value and triggered a second handoff to AutoCAD MCP, which released revision B with a thicker section while preserving revision A.</w:t>
      </w:r>
    </w:p>
    <w:p>
      <w:pPr>
        <w:spacing w:before="100" w:after="60"/>
        <w:jc w:val="center"/>
      </w:pPr>
      <w:r>
        <w:drawing>
          <wp:inline xmlns:a="http://schemas.openxmlformats.org/drawingml/2006/main" xmlns:pic="http://schemas.openxmlformats.org/drawingml/2006/picture">
            <wp:extent cx="5852160" cy="2723859"/>
            <wp:docPr id="11" name="Picture 11"/>
            <wp:cNvGraphicFramePr>
              <a:graphicFrameLocks noChangeAspect="1"/>
            </wp:cNvGraphicFramePr>
            <a:graphic>
              <a:graphicData uri="http://schemas.openxmlformats.org/drawingml/2006/picture">
                <pic:pic>
                  <pic:nvPicPr>
                    <pic:cNvPr id="0" name="field-measurement.png"/>
                    <pic:cNvPicPr/>
                  </pic:nvPicPr>
                  <pic:blipFill>
                    <a:blip r:embed="rId20"/>
                    <a:stretch>
                      <a:fillRect/>
                    </a:stretch>
                  </pic:blipFill>
                  <pic:spPr>
                    <a:xfrm>
                      <a:off x="0" y="0"/>
                      <a:ext cx="5852160" cy="2723859"/>
                    </a:xfrm>
                    <a:prstGeom prst="rect"/>
                  </pic:spPr>
                </pic:pic>
              </a:graphicData>
            </a:graphic>
          </wp:inline>
        </w:drawing>
      </w:r>
    </w:p>
    <w:p>
      <w:pPr>
        <w:pStyle w:val="Caption"/>
        <w:keepNext w:val="0"/>
        <w:jc w:val="center"/>
      </w:pPr>
      <w:r>
        <w:t>Field result RIG 17 RUN 0042 recorded 1.8 millimetres against a 1.0 millimetre allowable limit.</w:t>
      </w:r>
    </w:p>
    <w:p>
      <w:pPr>
        <w:spacing w:before="100" w:after="60"/>
        <w:jc w:val="center"/>
      </w:pPr>
      <w:r>
        <w:drawing>
          <wp:inline xmlns:a="http://schemas.openxmlformats.org/drawingml/2006/main" xmlns:pic="http://schemas.openxmlformats.org/drawingml/2006/picture">
            <wp:extent cx="5989320" cy="3164998"/>
            <wp:docPr id="12" name="Picture 12"/>
            <wp:cNvGraphicFramePr>
              <a:graphicFrameLocks noChangeAspect="1"/>
            </wp:cNvGraphicFramePr>
            <a:graphic>
              <a:graphicData uri="http://schemas.openxmlformats.org/drawingml/2006/picture">
                <pic:pic>
                  <pic:nvPicPr>
                    <pic:cNvPr id="0" name="field-revision.png"/>
                    <pic:cNvPicPr/>
                  </pic:nvPicPr>
                  <pic:blipFill>
                    <a:blip r:embed="rId21"/>
                    <a:stretch>
                      <a:fillRect/>
                    </a:stretch>
                  </pic:blipFill>
                  <pic:spPr>
                    <a:xfrm>
                      <a:off x="0" y="0"/>
                      <a:ext cx="5989320" cy="3164998"/>
                    </a:xfrm>
                    <a:prstGeom prst="rect"/>
                  </pic:spPr>
                </pic:pic>
              </a:graphicData>
            </a:graphic>
          </wp:inline>
        </w:drawing>
      </w:r>
    </w:p>
    <w:p>
      <w:pPr>
        <w:pStyle w:val="Caption"/>
        <w:keepNext w:val="0"/>
        <w:jc w:val="center"/>
      </w:pPr>
      <w:r>
        <w:t>Captured DXF revisions. Revision B increases the section from 8 to 10 millimetres and retains two mounting holes.</w:t>
      </w:r>
    </w:p>
    <w:p>
      <w:r>
        <w:br w:type="page"/>
      </w:r>
    </w:p>
    <w:p>
      <w:pPr>
        <w:pStyle w:val="Heading1"/>
      </w:pPr>
      <w:r>
        <w:t>Evidence integrity and practical limits</w:t>
      </w:r>
    </w:p>
    <w:p>
      <w:r>
        <w:t>The passing evidence is committed as process-chains-linux.json at Wright commit bef9f077. Its embedded canonical digest recomputes to fb676615fe7542f6d022c0aa967056c8aac8a9d687e2dca356bfcc02298f7950. The file itself hashes to efb9d53c4aae186b7c6812ff9700f829579b0a84e5fff9bec29ab372fb229d4a.</w:t>
      </w:r>
    </w:p>
    <w:tbl>
      <w:tblPr>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5083"/>
        <w:gridCol w:w="5083"/>
      </w:tblGrid>
      <w:tr>
        <w:trPr>
          <w:tblHeader w:val="true"/>
        </w:trPr>
        <w:tc>
          <w:tcPr>
            <w:tcW w:type="dxa" w:w="2880"/>
            <w:shd w:fill="0F172A"/>
            <w:tcMar>
              <w:top w:w="100" w:type="dxa"/>
              <w:start w:w="100" w:type="dxa"/>
              <w:bottom w:w="100" w:type="dxa"/>
              <w:end w:w="100" w:type="dxa"/>
            </w:tcMar>
            <w:vAlign w:val="center"/>
          </w:tcPr>
          <w:p>
            <w:pPr>
              <w:spacing w:after="0"/>
              <w:jc w:val="center"/>
            </w:pPr>
            <w:r>
              <w:rPr>
                <w:b/>
                <w:color w:val="FFFFFF"/>
                <w:sz w:val="17"/>
              </w:rPr>
              <w:t>Evidence control</w:t>
            </w:r>
          </w:p>
        </w:tc>
        <w:tc>
          <w:tcPr>
            <w:tcW w:type="dxa" w:w="6192"/>
            <w:shd w:fill="0F172A"/>
            <w:tcMar>
              <w:top w:w="100" w:type="dxa"/>
              <w:start w:w="100" w:type="dxa"/>
              <w:bottom w:w="100" w:type="dxa"/>
              <w:end w:w="100" w:type="dxa"/>
            </w:tcMar>
            <w:vAlign w:val="center"/>
          </w:tcPr>
          <w:p>
            <w:pPr>
              <w:spacing w:after="0"/>
              <w:jc w:val="left"/>
            </w:pPr>
            <w:r>
              <w:rPr>
                <w:b/>
                <w:color w:val="FFFFFF"/>
                <w:sz w:val="17"/>
              </w:rPr>
              <w:t>Status</w:t>
            </w:r>
          </w:p>
        </w:tc>
      </w:tr>
      <w:tr>
        <w:tc>
          <w:tcPr>
            <w:tcW w:type="dxa" w:w="2880"/>
            <w:tcMar>
              <w:top w:w="95" w:type="dxa"/>
              <w:start w:w="100" w:type="dxa"/>
              <w:bottom w:w="95" w:type="dxa"/>
              <w:end w:w="100" w:type="dxa"/>
            </w:tcMar>
            <w:vAlign w:val="center"/>
          </w:tcPr>
          <w:p>
            <w:pPr>
              <w:spacing w:after="0"/>
              <w:jc w:val="center"/>
            </w:pPr>
            <w:r>
              <w:rPr>
                <w:color w:val="0F172A"/>
                <w:sz w:val="17"/>
              </w:rPr>
              <w:t>Artifact parsers</w:t>
            </w:r>
          </w:p>
        </w:tc>
        <w:tc>
          <w:tcPr>
            <w:tcW w:type="dxa" w:w="6192"/>
            <w:tcMar>
              <w:top w:w="95" w:type="dxa"/>
              <w:start w:w="100" w:type="dxa"/>
              <w:bottom w:w="95" w:type="dxa"/>
              <w:end w:w="100" w:type="dxa"/>
            </w:tcMar>
            <w:vAlign w:val="center"/>
          </w:tcPr>
          <w:p>
            <w:pPr>
              <w:spacing w:after="0"/>
              <w:jc w:val="left"/>
            </w:pPr>
            <w:r>
              <w:rPr>
                <w:color w:val="0F172A"/>
                <w:sz w:val="17"/>
              </w:rPr>
              <w:t>Independent STL, STEP, DXF, VTU, KiCad PCB, Gerber and ROS 2 bag checks passed</w:t>
            </w:r>
          </w:p>
        </w:tc>
      </w:tr>
      <w:tr>
        <w:tc>
          <w:tcPr>
            <w:tcW w:type="dxa" w:w="2880"/>
            <w:shd w:fill="EFF6FF"/>
            <w:tcMar>
              <w:top w:w="95" w:type="dxa"/>
              <w:start w:w="100" w:type="dxa"/>
              <w:bottom w:w="95" w:type="dxa"/>
              <w:end w:w="100" w:type="dxa"/>
            </w:tcMar>
            <w:vAlign w:val="center"/>
          </w:tcPr>
          <w:p>
            <w:pPr>
              <w:spacing w:after="0"/>
              <w:jc w:val="center"/>
            </w:pPr>
            <w:r>
              <w:rPr>
                <w:color w:val="0F172A"/>
                <w:sz w:val="17"/>
              </w:rPr>
              <w:t>Handoff manifests</w:t>
            </w:r>
          </w:p>
        </w:tc>
        <w:tc>
          <w:tcPr>
            <w:tcW w:type="dxa" w:w="6192"/>
            <w:shd w:fill="EFF6FF"/>
            <w:tcMar>
              <w:top w:w="95" w:type="dxa"/>
              <w:start w:w="100" w:type="dxa"/>
              <w:bottom w:w="95" w:type="dxa"/>
              <w:end w:w="100" w:type="dxa"/>
            </w:tcMar>
            <w:vAlign w:val="center"/>
          </w:tcPr>
          <w:p>
            <w:pPr>
              <w:spacing w:after="0"/>
              <w:jc w:val="left"/>
            </w:pPr>
            <w:r>
              <w:rPr>
                <w:color w:val="0F172A"/>
                <w:sz w:val="17"/>
              </w:rPr>
              <w:t>Identity, revision, units and artifact hashes verified; corrupt copies rejected</w:t>
            </w:r>
          </w:p>
        </w:tc>
      </w:tr>
      <w:tr>
        <w:tc>
          <w:tcPr>
            <w:tcW w:type="dxa" w:w="2880"/>
            <w:tcMar>
              <w:top w:w="95" w:type="dxa"/>
              <w:start w:w="100" w:type="dxa"/>
              <w:bottom w:w="95" w:type="dxa"/>
              <w:end w:w="100" w:type="dxa"/>
            </w:tcMar>
            <w:vAlign w:val="center"/>
          </w:tcPr>
          <w:p>
            <w:pPr>
              <w:spacing w:after="0"/>
              <w:jc w:val="center"/>
            </w:pPr>
            <w:r>
              <w:rPr>
                <w:color w:val="0F172A"/>
                <w:sz w:val="17"/>
              </w:rPr>
              <w:t>Deterministic outputs</w:t>
            </w:r>
          </w:p>
        </w:tc>
        <w:tc>
          <w:tcPr>
            <w:tcW w:type="dxa" w:w="6192"/>
            <w:tcMar>
              <w:top w:w="95" w:type="dxa"/>
              <w:start w:w="100" w:type="dxa"/>
              <w:bottom w:w="95" w:type="dxa"/>
              <w:end w:w="100" w:type="dxa"/>
            </w:tcMar>
            <w:vAlign w:val="center"/>
          </w:tcPr>
          <w:p>
            <w:pPr>
              <w:spacing w:after="0"/>
              <w:jc w:val="left"/>
            </w:pPr>
            <w:r>
              <w:rPr>
                <w:color w:val="0F172A"/>
                <w:sz w:val="17"/>
              </w:rPr>
              <w:t>Mechanical STL, enclosure STL and both VTU captures match the authoritative evidence hashes</w:t>
            </w:r>
          </w:p>
        </w:tc>
      </w:tr>
      <w:tr>
        <w:tc>
          <w:tcPr>
            <w:tcW w:type="dxa" w:w="2880"/>
            <w:shd w:fill="EFF6FF"/>
            <w:tcMar>
              <w:top w:w="95" w:type="dxa"/>
              <w:start w:w="100" w:type="dxa"/>
              <w:bottom w:w="95" w:type="dxa"/>
              <w:end w:w="100" w:type="dxa"/>
            </w:tcMar>
            <w:vAlign w:val="center"/>
          </w:tcPr>
          <w:p>
            <w:pPr>
              <w:spacing w:after="0"/>
              <w:jc w:val="center"/>
            </w:pPr>
            <w:r>
              <w:rPr>
                <w:color w:val="0F172A"/>
                <w:sz w:val="17"/>
              </w:rPr>
              <w:t>Failed attempts retained</w:t>
            </w:r>
          </w:p>
        </w:tc>
        <w:tc>
          <w:tcPr>
            <w:tcW w:type="dxa" w:w="6192"/>
            <w:shd w:fill="EFF6FF"/>
            <w:tcMar>
              <w:top w:w="95" w:type="dxa"/>
              <w:start w:w="100" w:type="dxa"/>
              <w:bottom w:w="95" w:type="dxa"/>
              <w:end w:w="100" w:type="dxa"/>
            </w:tcMar>
            <w:vAlign w:val="center"/>
          </w:tcPr>
          <w:p>
            <w:pPr>
              <w:spacing w:after="0"/>
              <w:jc w:val="left"/>
            </w:pPr>
            <w:r>
              <w:rPr>
                <w:color w:val="0F172A"/>
                <w:sz w:val="17"/>
              </w:rPr>
              <w:t>Attempt 1 exposed an obsolete KiCad API assumption; attempt 2 exposed a Gerber edge tolerance assumption</w:t>
            </w:r>
          </w:p>
        </w:tc>
      </w:tr>
      <w:tr>
        <w:tc>
          <w:tcPr>
            <w:tcW w:type="dxa" w:w="2880"/>
            <w:tcMar>
              <w:top w:w="95" w:type="dxa"/>
              <w:start w:w="100" w:type="dxa"/>
              <w:bottom w:w="95" w:type="dxa"/>
              <w:end w:w="100" w:type="dxa"/>
            </w:tcMar>
            <w:vAlign w:val="center"/>
          </w:tcPr>
          <w:p>
            <w:pPr>
              <w:spacing w:after="0"/>
              <w:jc w:val="center"/>
            </w:pPr>
            <w:r>
              <w:rPr>
                <w:color w:val="0F172A"/>
                <w:sz w:val="17"/>
              </w:rPr>
              <w:t>Automated checks</w:t>
            </w:r>
          </w:p>
        </w:tc>
        <w:tc>
          <w:tcPr>
            <w:tcW w:type="dxa" w:w="6192"/>
            <w:tcMar>
              <w:top w:w="95" w:type="dxa"/>
              <w:start w:w="100" w:type="dxa"/>
              <w:bottom w:w="95" w:type="dxa"/>
              <w:end w:w="100" w:type="dxa"/>
            </w:tcMar>
            <w:vAlign w:val="center"/>
          </w:tcPr>
          <w:p>
            <w:pPr>
              <w:spacing w:after="0"/>
              <w:jc w:val="left"/>
            </w:pPr>
            <w:r>
              <w:rPr>
                <w:color w:val="0F172A"/>
                <w:sz w:val="17"/>
              </w:rPr>
              <w:t>26 focused tests passed; Ruff, Python compilation and diff checks passed</w:t>
            </w:r>
          </w:p>
        </w:tc>
      </w:tr>
    </w:tbl>
    <w:p>
      <w:pPr>
        <w:pStyle w:val="Heading2"/>
      </w:pPr>
      <w:r>
        <w:t>Current limits</w:t>
      </w:r>
    </w:p>
    <w:p>
      <w:pPr>
        <w:pStyle w:val="ListBullet"/>
        <w:spacing w:after="80"/>
      </w:pPr>
      <w:r>
        <w:t>Qualification covers the declared Linux container scopes; host application and licensed desktop workflows need separate environments.</w:t>
      </w:r>
    </w:p>
    <w:p>
      <w:pPr>
        <w:pStyle w:val="ListBullet"/>
        <w:spacing w:after="80"/>
      </w:pPr>
      <w:r>
        <w:t>The FEA cases are numerical screening examples and do not establish physical product validation.</w:t>
      </w:r>
    </w:p>
    <w:p>
      <w:pPr>
        <w:pStyle w:val="ListBullet"/>
        <w:spacing w:after="80"/>
      </w:pPr>
      <w:r>
        <w:t>KiCad design rule closure was not part of this simple single component board scenario.</w:t>
      </w:r>
    </w:p>
    <w:p>
      <w:pPr>
        <w:pStyle w:val="ListBullet"/>
        <w:spacing w:after="80"/>
      </w:pPr>
      <w:r>
        <w:t>Repeat user adoption has not yet been measured, and MHS physical device operation remains unqualified.</w:t>
      </w:r>
    </w:p>
    <w:p>
      <w:r>
        <w:br w:type="page"/>
      </w:r>
    </w:p>
    <w:p>
      <w:pPr>
        <w:pStyle w:val="Heading1"/>
      </w:pPr>
      <w:r>
        <w:t>Recommended next work</w:t>
      </w:r>
    </w:p>
    <w:p>
      <w:r>
        <w:t>The immediate priority is to keep the ten qualified integrations dependable while adding servers only after they pass the same evidence based process. The three chains should become repeatable regression scenarios rather than one time demonstrations.</w:t>
      </w:r>
    </w:p>
    <w:tbl>
      <w:tblPr>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3389"/>
        <w:gridCol w:w="3389"/>
        <w:gridCol w:w="3389"/>
      </w:tblGrid>
      <w:tr>
        <w:trPr>
          <w:tblHeader w:val="true"/>
        </w:trPr>
        <w:tc>
          <w:tcPr>
            <w:tcW w:type="dxa" w:w="792"/>
            <w:shd w:fill="0F172A"/>
            <w:tcMar>
              <w:top w:w="100" w:type="dxa"/>
              <w:start w:w="100" w:type="dxa"/>
              <w:bottom w:w="100" w:type="dxa"/>
              <w:end w:w="100" w:type="dxa"/>
            </w:tcMar>
            <w:vAlign w:val="center"/>
          </w:tcPr>
          <w:p>
            <w:pPr>
              <w:spacing w:after="0"/>
              <w:jc w:val="center"/>
            </w:pPr>
            <w:r>
              <w:rPr>
                <w:b/>
                <w:color w:val="FFFFFF"/>
                <w:sz w:val="17"/>
              </w:rPr>
              <w:t>Priority</w:t>
            </w:r>
          </w:p>
        </w:tc>
        <w:tc>
          <w:tcPr>
            <w:tcW w:type="dxa" w:w="4320"/>
            <w:shd w:fill="0F172A"/>
            <w:tcMar>
              <w:top w:w="100" w:type="dxa"/>
              <w:start w:w="100" w:type="dxa"/>
              <w:bottom w:w="100" w:type="dxa"/>
              <w:end w:w="100" w:type="dxa"/>
            </w:tcMar>
            <w:vAlign w:val="center"/>
          </w:tcPr>
          <w:p>
            <w:pPr>
              <w:spacing w:after="0"/>
              <w:jc w:val="left"/>
            </w:pPr>
            <w:r>
              <w:rPr>
                <w:b/>
                <w:color w:val="FFFFFF"/>
                <w:sz w:val="17"/>
              </w:rPr>
              <w:t>Action</w:t>
            </w:r>
          </w:p>
        </w:tc>
        <w:tc>
          <w:tcPr>
            <w:tcW w:type="dxa" w:w="3960"/>
            <w:shd w:fill="0F172A"/>
            <w:tcMar>
              <w:top w:w="100" w:type="dxa"/>
              <w:start w:w="100" w:type="dxa"/>
              <w:bottom w:w="100" w:type="dxa"/>
              <w:end w:w="100" w:type="dxa"/>
            </w:tcMar>
            <w:vAlign w:val="center"/>
          </w:tcPr>
          <w:p>
            <w:pPr>
              <w:spacing w:after="0"/>
              <w:jc w:val="left"/>
            </w:pPr>
            <w:r>
              <w:rPr>
                <w:b/>
                <w:color w:val="FFFFFF"/>
                <w:sz w:val="17"/>
              </w:rPr>
              <w:t>Completion evidence</w:t>
            </w:r>
          </w:p>
        </w:tc>
      </w:tr>
      <w:tr>
        <w:tc>
          <w:tcPr>
            <w:tcW w:type="dxa" w:w="792"/>
            <w:tcMar>
              <w:top w:w="95" w:type="dxa"/>
              <w:start w:w="100" w:type="dxa"/>
              <w:bottom w:w="95" w:type="dxa"/>
              <w:end w:w="100" w:type="dxa"/>
            </w:tcMar>
            <w:vAlign w:val="center"/>
          </w:tcPr>
          <w:p>
            <w:pPr>
              <w:spacing w:after="0"/>
              <w:jc w:val="center"/>
            </w:pPr>
            <w:r>
              <w:rPr>
                <w:color w:val="0F172A"/>
                <w:sz w:val="17"/>
              </w:rPr>
              <w:t>1</w:t>
            </w:r>
          </w:p>
        </w:tc>
        <w:tc>
          <w:tcPr>
            <w:tcW w:type="dxa" w:w="4320"/>
            <w:tcMar>
              <w:top w:w="95" w:type="dxa"/>
              <w:start w:w="100" w:type="dxa"/>
              <w:bottom w:w="95" w:type="dxa"/>
              <w:end w:w="100" w:type="dxa"/>
            </w:tcMar>
            <w:vAlign w:val="center"/>
          </w:tcPr>
          <w:p>
            <w:pPr>
              <w:spacing w:after="0"/>
              <w:jc w:val="left"/>
            </w:pPr>
            <w:r>
              <w:rPr>
                <w:color w:val="0F172A"/>
                <w:sz w:val="17"/>
              </w:rPr>
              <w:t>Schedule recurring requalification for the ten curated servers</w:t>
            </w:r>
          </w:p>
        </w:tc>
        <w:tc>
          <w:tcPr>
            <w:tcW w:type="dxa" w:w="3960"/>
            <w:tcMar>
              <w:top w:w="95" w:type="dxa"/>
              <w:start w:w="100" w:type="dxa"/>
              <w:bottom w:w="95" w:type="dxa"/>
              <w:end w:w="100" w:type="dxa"/>
            </w:tcMar>
            <w:vAlign w:val="center"/>
          </w:tcPr>
          <w:p>
            <w:pPr>
              <w:spacing w:after="0"/>
              <w:jc w:val="left"/>
            </w:pPr>
            <w:r>
              <w:rPr>
                <w:color w:val="0F172A"/>
                <w:sz w:val="17"/>
              </w:rPr>
              <w:t>Current launch, schema, artifact oracle and platform evidence</w:t>
            </w:r>
          </w:p>
        </w:tc>
      </w:tr>
      <w:tr>
        <w:tc>
          <w:tcPr>
            <w:tcW w:type="dxa" w:w="792"/>
            <w:shd w:fill="EFF6FF"/>
            <w:tcMar>
              <w:top w:w="95" w:type="dxa"/>
              <w:start w:w="100" w:type="dxa"/>
              <w:bottom w:w="95" w:type="dxa"/>
              <w:end w:w="100" w:type="dxa"/>
            </w:tcMar>
            <w:vAlign w:val="center"/>
          </w:tcPr>
          <w:p>
            <w:pPr>
              <w:spacing w:after="0"/>
              <w:jc w:val="center"/>
            </w:pPr>
            <w:r>
              <w:rPr>
                <w:color w:val="0F172A"/>
                <w:sz w:val="17"/>
              </w:rPr>
              <w:t>2</w:t>
            </w:r>
          </w:p>
        </w:tc>
        <w:tc>
          <w:tcPr>
            <w:tcW w:type="dxa" w:w="4320"/>
            <w:shd w:fill="EFF6FF"/>
            <w:tcMar>
              <w:top w:w="95" w:type="dxa"/>
              <w:start w:w="100" w:type="dxa"/>
              <w:bottom w:w="95" w:type="dxa"/>
              <w:end w:w="100" w:type="dxa"/>
            </w:tcMar>
            <w:vAlign w:val="center"/>
          </w:tcPr>
          <w:p>
            <w:pPr>
              <w:spacing w:after="0"/>
              <w:jc w:val="left"/>
            </w:pPr>
            <w:r>
              <w:rPr>
                <w:color w:val="0F172A"/>
                <w:sz w:val="17"/>
              </w:rPr>
              <w:t>Promote the three chains into maintained product design scenarios</w:t>
            </w:r>
          </w:p>
        </w:tc>
        <w:tc>
          <w:tcPr>
            <w:tcW w:type="dxa" w:w="3960"/>
            <w:shd w:fill="EFF6FF"/>
            <w:tcMar>
              <w:top w:w="95" w:type="dxa"/>
              <w:start w:w="100" w:type="dxa"/>
              <w:bottom w:w="95" w:type="dxa"/>
              <w:end w:w="100" w:type="dxa"/>
            </w:tcMar>
            <w:vAlign w:val="center"/>
          </w:tcPr>
          <w:p>
            <w:pPr>
              <w:spacing w:after="0"/>
              <w:jc w:val="left"/>
            </w:pPr>
            <w:r>
              <w:rPr>
                <w:color w:val="0F172A"/>
                <w:sz w:val="17"/>
              </w:rPr>
              <w:t>Stable inputs, tool calls, handoff manifests and output thresholds</w:t>
            </w:r>
          </w:p>
        </w:tc>
      </w:tr>
      <w:tr>
        <w:tc>
          <w:tcPr>
            <w:tcW w:type="dxa" w:w="792"/>
            <w:tcMar>
              <w:top w:w="95" w:type="dxa"/>
              <w:start w:w="100" w:type="dxa"/>
              <w:bottom w:w="95" w:type="dxa"/>
              <w:end w:w="100" w:type="dxa"/>
            </w:tcMar>
            <w:vAlign w:val="center"/>
          </w:tcPr>
          <w:p>
            <w:pPr>
              <w:spacing w:after="0"/>
              <w:jc w:val="center"/>
            </w:pPr>
            <w:r>
              <w:rPr>
                <w:color w:val="0F172A"/>
                <w:sz w:val="17"/>
              </w:rPr>
              <w:t>3</w:t>
            </w:r>
          </w:p>
        </w:tc>
        <w:tc>
          <w:tcPr>
            <w:tcW w:type="dxa" w:w="4320"/>
            <w:tcMar>
              <w:top w:w="95" w:type="dxa"/>
              <w:start w:w="100" w:type="dxa"/>
              <w:bottom w:w="95" w:type="dxa"/>
              <w:end w:w="100" w:type="dxa"/>
            </w:tcMar>
            <w:vAlign w:val="center"/>
          </w:tcPr>
          <w:p>
            <w:pPr>
              <w:spacing w:after="0"/>
              <w:jc w:val="left"/>
            </w:pPr>
            <w:r>
              <w:rPr>
                <w:color w:val="0F172A"/>
                <w:sz w:val="17"/>
              </w:rPr>
              <w:t>Add candidates one at a time from the follow up queue</w:t>
            </w:r>
          </w:p>
        </w:tc>
        <w:tc>
          <w:tcPr>
            <w:tcW w:type="dxa" w:w="3960"/>
            <w:tcMar>
              <w:top w:w="95" w:type="dxa"/>
              <w:start w:w="100" w:type="dxa"/>
              <w:bottom w:w="95" w:type="dxa"/>
              <w:end w:w="100" w:type="dxa"/>
            </w:tcMar>
            <w:vAlign w:val="center"/>
          </w:tcPr>
          <w:p>
            <w:pPr>
              <w:spacing w:after="0"/>
              <w:jc w:val="left"/>
            </w:pPr>
            <w:r>
              <w:rPr>
                <w:color w:val="0F172A"/>
                <w:sz w:val="17"/>
              </w:rPr>
              <w:t>Clean container pass and a demonstrated role in a realistic engineering workflow</w:t>
            </w:r>
          </w:p>
        </w:tc>
      </w:tr>
      <w:tr>
        <w:tc>
          <w:tcPr>
            <w:tcW w:type="dxa" w:w="792"/>
            <w:shd w:fill="EFF6FF"/>
            <w:tcMar>
              <w:top w:w="95" w:type="dxa"/>
              <w:start w:w="100" w:type="dxa"/>
              <w:bottom w:w="95" w:type="dxa"/>
              <w:end w:w="100" w:type="dxa"/>
            </w:tcMar>
            <w:vAlign w:val="center"/>
          </w:tcPr>
          <w:p>
            <w:pPr>
              <w:spacing w:after="0"/>
              <w:jc w:val="center"/>
            </w:pPr>
            <w:r>
              <w:rPr>
                <w:color w:val="0F172A"/>
                <w:sz w:val="17"/>
              </w:rPr>
              <w:t>4</w:t>
            </w:r>
          </w:p>
        </w:tc>
        <w:tc>
          <w:tcPr>
            <w:tcW w:type="dxa" w:w="4320"/>
            <w:shd w:fill="EFF6FF"/>
            <w:tcMar>
              <w:top w:w="95" w:type="dxa"/>
              <w:start w:w="100" w:type="dxa"/>
              <w:bottom w:w="95" w:type="dxa"/>
              <w:end w:w="100" w:type="dxa"/>
            </w:tcMar>
            <w:vAlign w:val="center"/>
          </w:tcPr>
          <w:p>
            <w:pPr>
              <w:spacing w:after="0"/>
              <w:jc w:val="left"/>
            </w:pPr>
            <w:r>
              <w:rPr>
                <w:color w:val="0F172A"/>
                <w:sz w:val="17"/>
              </w:rPr>
              <w:t>Expand realism in the electronics and mechanical cases</w:t>
            </w:r>
          </w:p>
        </w:tc>
        <w:tc>
          <w:tcPr>
            <w:tcW w:type="dxa" w:w="3960"/>
            <w:shd w:fill="EFF6FF"/>
            <w:tcMar>
              <w:top w:w="95" w:type="dxa"/>
              <w:start w:w="100" w:type="dxa"/>
              <w:bottom w:w="95" w:type="dxa"/>
              <w:end w:w="100" w:type="dxa"/>
            </w:tcMar>
            <w:vAlign w:val="center"/>
          </w:tcPr>
          <w:p>
            <w:pPr>
              <w:spacing w:after="0"/>
              <w:jc w:val="left"/>
            </w:pPr>
            <w:r>
              <w:rPr>
                <w:color w:val="0F172A"/>
                <w:sz w:val="17"/>
              </w:rPr>
              <w:t>KiCad DRC, richer assemblies, nonlinear or three dimensional CAE and physical comparison data</w:t>
            </w:r>
          </w:p>
        </w:tc>
      </w:tr>
      <w:tr>
        <w:tc>
          <w:tcPr>
            <w:tcW w:type="dxa" w:w="792"/>
            <w:tcMar>
              <w:top w:w="95" w:type="dxa"/>
              <w:start w:w="100" w:type="dxa"/>
              <w:bottom w:w="95" w:type="dxa"/>
              <w:end w:w="100" w:type="dxa"/>
            </w:tcMar>
            <w:vAlign w:val="center"/>
          </w:tcPr>
          <w:p>
            <w:pPr>
              <w:spacing w:after="0"/>
              <w:jc w:val="center"/>
            </w:pPr>
            <w:r>
              <w:rPr>
                <w:color w:val="0F172A"/>
                <w:sz w:val="17"/>
              </w:rPr>
              <w:t>5</w:t>
            </w:r>
          </w:p>
        </w:tc>
        <w:tc>
          <w:tcPr>
            <w:tcW w:type="dxa" w:w="4320"/>
            <w:tcMar>
              <w:top w:w="95" w:type="dxa"/>
              <w:start w:w="100" w:type="dxa"/>
              <w:bottom w:w="95" w:type="dxa"/>
              <w:end w:w="100" w:type="dxa"/>
            </w:tcMar>
            <w:vAlign w:val="center"/>
          </w:tcPr>
          <w:p>
            <w:pPr>
              <w:spacing w:after="0"/>
              <w:jc w:val="left"/>
            </w:pPr>
            <w:r>
              <w:rPr>
                <w:color w:val="0F172A"/>
                <w:sz w:val="17"/>
              </w:rPr>
              <w:t>Measure repeat use and operator friction</w:t>
            </w:r>
          </w:p>
        </w:tc>
        <w:tc>
          <w:tcPr>
            <w:tcW w:type="dxa" w:w="3960"/>
            <w:tcMar>
              <w:top w:w="95" w:type="dxa"/>
              <w:start w:w="100" w:type="dxa"/>
              <w:bottom w:w="95" w:type="dxa"/>
              <w:end w:w="100" w:type="dxa"/>
            </w:tcMar>
            <w:vAlign w:val="center"/>
          </w:tcPr>
          <w:p>
            <w:pPr>
              <w:spacing w:after="0"/>
              <w:jc w:val="left"/>
            </w:pPr>
            <w:r>
              <w:rPr>
                <w:color w:val="0F172A"/>
                <w:sz w:val="17"/>
              </w:rPr>
              <w:t>Observed completion rate, intervention rate and failure reasons</w:t>
            </w:r>
          </w:p>
        </w:tc>
      </w:tr>
    </w:tbl>
    <w:p>
      <w:pPr>
        <w:pStyle w:val="Heading2"/>
      </w:pPr>
      <w:r>
        <w:t>Decision for the next cycle</w:t>
      </w:r>
    </w:p>
    <w:p>
      <w:r>
        <w:t>Use the current ten server portfolio as the supported engineering baseline. Requalify it on a fixed cadence, treat the three chains as regression evidence, and require every newly curated server to improve a real design chain before it appears in Wright’s default shortlist.</w:t>
      </w:r>
    </w:p>
    <w:sectPr w:rsidR="00FC693F" w:rsidRPr="0006063C" w:rsidSect="00034616">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334155"/>
        <w:sz w:val="16"/>
      </w:rPr>
      <w:t>Wright engineering MCP qualification status  •  8 September 2026</w:t>
    </w:r>
  </w:p>
  <w:p>
    <w:pPr>
      <w:jc w:val="right"/>
    </w:pPr>
    <w:r>
      <w:rPr>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bCs/>
      <w:i w:val="0"/>
      <w:color w:val="33415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Wright Engineering MCP Qualification Status Report</dc:title>
  <dc:subject>Curated engineering MCP portfolio and verified product design chains</dc:subject>
  <dc:creator>Wright Engineering</dc:creator>
  <cp:keywords>Wright, MCP, CAD, CAE, simulation, engineering data</cp:keywords>
  <dc:description>generated by python-docx</dc:description>
  <cp:lastModifiedBy/>
  <cp:revision>1</cp:revision>
  <dcterms:created xsi:type="dcterms:W3CDTF">2013-12-23T23:15:00Z</dcterms:created>
  <dcterms:modified xsi:type="dcterms:W3CDTF">2013-12-23T23:15:00Z</dcterms:modified>
  <cp:category/>
</cp:coreProperties>
</file>