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Feld ④ Fragmentierte Resilienz</w:t>
      </w:r>
    </w:p>
    <w:p>
      <w:pPr>
        <w:spacing w:after="40"/>
      </w:pPr>
      <w:r>
        <w:rPr>
          <w:color w:val="1F3864"/>
          <w:sz w:val="28"/>
          <w:szCs w:val="28"/>
        </w:rPr>
        <w:t xml:space="preserve">Eine Tiefbohrung, und ein Achsen-Check</w:t>
      </w:r>
    </w:p>
    <w:p>
      <w:pPr>
        <w:spacing w:after="200" w:line="276"/>
      </w:pPr>
      <w:r>
        <w:rPr>
          <w:color w:val="595959"/>
          <w:sz w:val="20"/>
          <w:szCs w:val="20"/>
        </w:rPr>
        <w:t xml:space="preserve">Ergänzende Auswertung zum Grundrisse-Foresight-Register. Diskussionsgrundlage fürs Kern-Team. Stand: 6. August 2026, v1. GRUNDRISSE (D2030 / D2045).</w:t>
      </w:r>
    </w:p>
    <w:p>
      <w:pPr>
        <w:pStyle w:val="Heading1"/>
        <w:spacing w:after="120" w:before="240"/>
      </w:pPr>
      <w:r>
        <w:rPr>
          <w:b/>
          <w:bCs/>
          <w:color w:val="1F3864"/>
          <w:sz w:val="28"/>
          <w:szCs w:val="28"/>
        </w:rPr>
        <w:t xml:space="preserve">Teil 1 · Die Tiefbohrung ins Feld ④</w:t>
      </w:r>
    </w:p>
    <w:p>
      <w:pPr>
        <w:pStyle w:val="Heading2"/>
        <w:spacing w:after="80" w:before="200"/>
      </w:pPr>
      <w:r>
        <w:rPr>
          <w:b/>
          <w:bCs/>
          <w:color w:val="1F3864"/>
          <w:sz w:val="24"/>
          <w:szCs w:val="24"/>
        </w:rPr>
        <w:t xml:space="preserve">1. Warum dieses Feld</w:t>
      </w:r>
    </w:p>
    <w:p>
      <w:pPr>
        <w:spacing w:after="120" w:line="276"/>
      </w:pPr>
      <w:r>
        <w:rPr>
          <w:sz w:val="22"/>
          <w:szCs w:val="22"/>
        </w:rPr>
        <w:t xml:space="preserve">Der Vergleich von Kumli-Strom und Bibliothek hat es schwarz auf weiß gezeigt: Das Feld ④ Fragmentierte Resilienz ist in beiden Quellen fast leer, bei Kumli wie in Klaus' eigener Sammlung nur zwei von 136 Titeln. Der Foresight-Atlas sagt dasselbe, und euer Spotlight MS 8 nennt den Grund beim Namen: die mittlere, richtungslose Möglichkeit ist strukturell unterrepräsentiert, weil dort jeder Pfad eine Richtung hat. Genau deshalb ist dieser leere Quadrant kein Datenmangel, sondern die eigentliche Aufgabe. Diesen Riss zeichnet euch keine Studie vor, ihn muss GRUNDRISSE selbst zeichnen.</w:t>
      </w:r>
    </w:p>
    <w:p>
      <w:pPr>
        <w:pStyle w:val="Heading2"/>
        <w:spacing w:after="80" w:before="200"/>
      </w:pPr>
      <w:r>
        <w:rPr>
          <w:b/>
          <w:bCs/>
          <w:color w:val="1F3864"/>
          <w:sz w:val="24"/>
          <w:szCs w:val="24"/>
        </w:rPr>
        <w:t xml:space="preserve">2. Die Grundlogik</w:t>
      </w:r>
    </w:p>
    <w:p>
      <w:pPr>
        <w:spacing w:after="120" w:line="276"/>
      </w:pPr>
      <w:r>
        <w:rPr>
          <w:sz w:val="22"/>
          <w:szCs w:val="22"/>
        </w:rPr>
        <w:t xml:space="preserve">Feld ④ entsteht aus getriebener Anpassung mal verteilten Trägern: Es wird nicht bewusst auf gemeinsame Ziele gesteuert, und es entsteht nicht zentral, sondern viele Akteure sichern sich einzeln ab. Das Ergebnis ist Resilienz ohne geteilte Richtung. Man hält durch, aber niemand hält zusammen. Robust im Kleinen, brüchig im Ganzen. Anpassung ist reaktiv, defensiv und ungleich verteilt: Wer Ressourcen hat, wird robust, der Rest trägt die Schocks. Es ist bewusst kein Schreckbild und kein Wunschbild, sondern der Möglichkeitsraum, in dem die Richtung fehlt.</w:t>
      </w:r>
    </w:p>
    <w:p>
      <w:pPr>
        <w:pStyle w:val="Heading2"/>
        <w:spacing w:after="80" w:before="200"/>
      </w:pPr>
      <w:r>
        <w:rPr>
          <w:b/>
          <w:bCs/>
          <w:color w:val="1F3864"/>
          <w:sz w:val="24"/>
          <w:szCs w:val="24"/>
        </w:rPr>
        <w:t xml:space="preserve">3. Woher die wenige Evidenz kommt</w:t>
      </w:r>
    </w:p>
    <w:p>
      <w:pPr>
        <w:spacing w:after="120" w:line="276"/>
      </w:pPr>
      <w:r>
        <w:rPr>
          <w:sz w:val="22"/>
          <w:szCs w:val="22"/>
        </w:rPr>
        <w:t xml:space="preserve">Aus dem Register lassen sich einige Seeds bergen, drinnen wie draußen. Aus Kumlis Strom liefern das Szenario Island in the Storm der UK-Lieferketten-Studie, das Szenario Citizen Pushback der JRC-Demokratie-Studie und die Countertrends von armasuisse (Erschöpfung, Reversal) direkte Bausteine. Aus der Bibliothek kommen der NIC-Global-Trends-Strang zur Blockbildung, die akademische Analyse zu Staatszerfall (Moral Collapse and State Failure), der BBSR-Stresstest Stadt und die Landlust- und Urbane-Dörfer-Studien hinzu. Von außen bestätigen es aktuelle Quellen: die Europäische Umweltagentur nennt die Klimaanpassung in Europa weiterhin unzureichend und fragmentiert, Analysen sprechen von einem Europa in Fluss zwischen Militarisierung und Fragmentierung, und das Stockholm Environment Institute vermisst eine Weltordnung geopolitischer und geoökonomischer Fragmentierung.</w:t>
      </w:r>
    </w:p>
    <w:p>
      <w:pPr>
        <w:pStyle w:val="Heading2"/>
        <w:spacing w:after="80" w:before="200"/>
      </w:pPr>
      <w:r>
        <w:rPr>
          <w:b/>
          <w:bCs/>
          <w:color w:val="1F3864"/>
          <w:sz w:val="24"/>
          <w:szCs w:val="24"/>
        </w:rPr>
        <w:t xml:space="preserve">4. Sechs Spotlights für Feld ④</w:t>
      </w:r>
    </w:p>
    <w:p>
      <w:pPr>
        <w:spacing w:after="180" w:line="276"/>
      </w:pPr>
      <w:r>
        <w:rPr>
          <w:i/>
          <w:iCs/>
          <w:color w:val="595959"/>
          <w:sz w:val="20"/>
          <w:szCs w:val="20"/>
        </w:rPr>
        <w:t xml:space="preserve">Bausteine, aus denen sich das Feld verdichten lässt. Jeder ist ein Einzelhinweis, noch kein fertiges Bild.</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4438"/>
        <w:gridCol w:w="2600"/>
      </w:tblGrid>
      <w:tr>
        <w:trPr>
          <w:tblHeader/>
        </w:trPr>
        <w:tc>
          <w:tcPr>
            <w:tcW w:type="dxa" w:w="2600"/>
            <w:shd w:fill="1F3864" w:val="clear"/>
            <w:tcMar>
              <w:top w:type="dxa" w:w="60"/>
              <w:left w:type="dxa" w:w="90"/>
              <w:bottom w:type="dxa" w:w="60"/>
              <w:right w:type="dxa" w:w="90"/>
            </w:tcMar>
          </w:tcPr>
          <w:p>
            <w:pPr>
              <w:spacing w:after="0" w:line="264"/>
            </w:pPr>
            <w:r>
              <w:rPr>
                <w:b/>
                <w:bCs/>
                <w:color w:val="FFFFFF"/>
                <w:sz w:val="20"/>
                <w:szCs w:val="20"/>
              </w:rPr>
              <w:t xml:space="preserve">Spotlight</w:t>
            </w:r>
          </w:p>
        </w:tc>
        <w:tc>
          <w:tcPr>
            <w:tcW w:type="dxa" w:w="4438"/>
            <w:shd w:fill="1F3864" w:val="clear"/>
            <w:tcMar>
              <w:top w:type="dxa" w:w="60"/>
              <w:left w:type="dxa" w:w="90"/>
              <w:bottom w:type="dxa" w:w="60"/>
              <w:right w:type="dxa" w:w="90"/>
            </w:tcMar>
          </w:tcPr>
          <w:p>
            <w:pPr>
              <w:spacing w:after="0" w:line="264"/>
            </w:pPr>
            <w:r>
              <w:rPr>
                <w:b/>
                <w:bCs/>
                <w:color w:val="FFFFFF"/>
                <w:sz w:val="20"/>
                <w:szCs w:val="20"/>
              </w:rPr>
              <w:t xml:space="preserve">Signatur</w:t>
            </w:r>
          </w:p>
        </w:tc>
        <w:tc>
          <w:tcPr>
            <w:tcW w:type="dxa" w:w="2600"/>
            <w:shd w:fill="1F3864" w:val="clear"/>
            <w:tcMar>
              <w:top w:type="dxa" w:w="60"/>
              <w:left w:type="dxa" w:w="90"/>
              <w:bottom w:type="dxa" w:w="60"/>
              <w:right w:type="dxa" w:w="90"/>
            </w:tcMar>
          </w:tcPr>
          <w:p>
            <w:pPr>
              <w:spacing w:after="0" w:line="264"/>
            </w:pPr>
            <w:r>
              <w:rPr>
                <w:b/>
                <w:bCs/>
                <w:color w:val="FFFFFF"/>
                <w:sz w:val="20"/>
                <w:szCs w:val="20"/>
              </w:rPr>
              <w:t xml:space="preserve">Beleg</w:t>
            </w:r>
          </w:p>
        </w:tc>
      </w:tr>
      <w:tr>
        <w:tc>
          <w:tcPr>
            <w:tcW w:type="dxa" w:w="2600"/>
            <w:tcMar>
              <w:top w:type="dxa" w:w="60"/>
              <w:left w:type="dxa" w:w="90"/>
              <w:bottom w:type="dxa" w:w="60"/>
              <w:right w:type="dxa" w:w="90"/>
            </w:tcMar>
          </w:tcPr>
          <w:p>
            <w:pPr>
              <w:spacing w:after="0" w:line="264"/>
            </w:pPr>
            <w:r>
              <w:rPr>
                <w:b w:val="false"/>
                <w:bCs w:val="false"/>
                <w:sz w:val="20"/>
                <w:szCs w:val="20"/>
              </w:rPr>
              <w:t xml:space="preserve">④.1 Fragmentierte Klimaanpassung</w:t>
            </w:r>
          </w:p>
        </w:tc>
        <w:tc>
          <w:tcPr>
            <w:tcW w:type="dxa" w:w="4438"/>
            <w:tcMar>
              <w:top w:type="dxa" w:w="60"/>
              <w:left w:type="dxa" w:w="90"/>
              <w:bottom w:type="dxa" w:w="60"/>
              <w:right w:type="dxa" w:w="90"/>
            </w:tcMar>
          </w:tcPr>
          <w:p>
            <w:pPr>
              <w:spacing w:after="0" w:line="264"/>
            </w:pPr>
            <w:r>
              <w:rPr>
                <w:b w:val="false"/>
                <w:bCs w:val="false"/>
                <w:sz w:val="20"/>
                <w:szCs w:val="20"/>
              </w:rPr>
              <w:t xml:space="preserve">Jede Kommune und Region sichert sich selbst, ohne gemeinsamen Pfad; Anpassung läuft der Erwärmung hinterher.</w:t>
            </w:r>
          </w:p>
        </w:tc>
        <w:tc>
          <w:tcPr>
            <w:tcW w:type="dxa" w:w="2600"/>
            <w:tcMar>
              <w:top w:type="dxa" w:w="60"/>
              <w:left w:type="dxa" w:w="90"/>
              <w:bottom w:type="dxa" w:w="60"/>
              <w:right w:type="dxa" w:w="90"/>
            </w:tcMar>
          </w:tcPr>
          <w:p>
            <w:pPr>
              <w:spacing w:after="0" w:line="264"/>
            </w:pPr>
            <w:r>
              <w:rPr>
                <w:b w:val="false"/>
                <w:bCs w:val="false"/>
                <w:sz w:val="20"/>
                <w:szCs w:val="20"/>
              </w:rPr>
              <w:t xml:space="preserve">EEA / Climate Advisory Board; UBA</w:t>
            </w:r>
          </w:p>
        </w:tc>
      </w:tr>
      <w:tr>
        <w:tc>
          <w:tcPr>
            <w:tcW w:type="dxa" w:w="2600"/>
            <w:shd w:fill="EAF1F8" w:val="clear"/>
            <w:tcMar>
              <w:top w:type="dxa" w:w="60"/>
              <w:left w:type="dxa" w:w="90"/>
              <w:bottom w:type="dxa" w:w="60"/>
              <w:right w:type="dxa" w:w="90"/>
            </w:tcMar>
          </w:tcPr>
          <w:p>
            <w:pPr>
              <w:spacing w:after="0" w:line="264"/>
            </w:pPr>
            <w:r>
              <w:rPr>
                <w:b w:val="false"/>
                <w:bCs w:val="false"/>
                <w:sz w:val="20"/>
                <w:szCs w:val="20"/>
              </w:rPr>
              <w:t xml:space="preserve">④.2 Blockbildung ohne Führung</w:t>
            </w:r>
          </w:p>
        </w:tc>
        <w:tc>
          <w:tcPr>
            <w:tcW w:type="dxa" w:w="4438"/>
            <w:shd w:fill="EAF1F8" w:val="clear"/>
            <w:tcMar>
              <w:top w:type="dxa" w:w="60"/>
              <w:left w:type="dxa" w:w="90"/>
              <w:bottom w:type="dxa" w:w="60"/>
              <w:right w:type="dxa" w:w="90"/>
            </w:tcMar>
          </w:tcPr>
          <w:p>
            <w:pPr>
              <w:spacing w:after="0" w:line="264"/>
            </w:pPr>
            <w:r>
              <w:rPr>
                <w:b w:val="false"/>
                <w:bCs w:val="false"/>
                <w:sz w:val="20"/>
                <w:szCs w:val="20"/>
              </w:rPr>
              <w:t xml:space="preserve">Rückzug in vertraute Wirtschafts- und Sicherheitsblöcke, Separate Silos statt Kooperation.</w:t>
            </w:r>
          </w:p>
        </w:tc>
        <w:tc>
          <w:tcPr>
            <w:tcW w:type="dxa" w:w="2600"/>
            <w:shd w:fill="EAF1F8" w:val="clear"/>
            <w:tcMar>
              <w:top w:type="dxa" w:w="60"/>
              <w:left w:type="dxa" w:w="90"/>
              <w:bottom w:type="dxa" w:w="60"/>
              <w:right w:type="dxa" w:w="90"/>
            </w:tcMar>
          </w:tcPr>
          <w:p>
            <w:pPr>
              <w:spacing w:after="0" w:line="264"/>
            </w:pPr>
            <w:r>
              <w:rPr>
                <w:b w:val="false"/>
                <w:bCs w:val="false"/>
                <w:sz w:val="20"/>
                <w:szCs w:val="20"/>
              </w:rPr>
              <w:t xml:space="preserve">NIC Global Trends 2040; SEI; UK Supply Chains</w:t>
            </w:r>
          </w:p>
        </w:tc>
      </w:tr>
      <w:tr>
        <w:tc>
          <w:tcPr>
            <w:tcW w:type="dxa" w:w="2600"/>
            <w:tcMar>
              <w:top w:type="dxa" w:w="60"/>
              <w:left w:type="dxa" w:w="90"/>
              <w:bottom w:type="dxa" w:w="60"/>
              <w:right w:type="dxa" w:w="90"/>
            </w:tcMar>
          </w:tcPr>
          <w:p>
            <w:pPr>
              <w:spacing w:after="0" w:line="264"/>
            </w:pPr>
            <w:r>
              <w:rPr>
                <w:b w:val="false"/>
                <w:bCs w:val="false"/>
                <w:sz w:val="20"/>
                <w:szCs w:val="20"/>
              </w:rPr>
              <w:t xml:space="preserve">④.3 Bürger-Rückzug ins Lokale</w:t>
            </w:r>
          </w:p>
        </w:tc>
        <w:tc>
          <w:tcPr>
            <w:tcW w:type="dxa" w:w="4438"/>
            <w:tcMar>
              <w:top w:type="dxa" w:w="60"/>
              <w:left w:type="dxa" w:w="90"/>
              <w:bottom w:type="dxa" w:w="60"/>
              <w:right w:type="dxa" w:w="90"/>
            </w:tcMar>
          </w:tcPr>
          <w:p>
            <w:pPr>
              <w:spacing w:after="0" w:line="264"/>
            </w:pPr>
            <w:r>
              <w:rPr>
                <w:b w:val="false"/>
                <w:bCs w:val="false"/>
                <w:sz w:val="20"/>
                <w:szCs w:val="20"/>
              </w:rPr>
              <w:t xml:space="preserve">Lokale Selbstverwaltung als Gegenbewegung, aber exkludierend und fragmentierend.</w:t>
            </w:r>
          </w:p>
        </w:tc>
        <w:tc>
          <w:tcPr>
            <w:tcW w:type="dxa" w:w="2600"/>
            <w:tcMar>
              <w:top w:type="dxa" w:w="60"/>
              <w:left w:type="dxa" w:w="90"/>
              <w:bottom w:type="dxa" w:w="60"/>
              <w:right w:type="dxa" w:w="90"/>
            </w:tcMar>
          </w:tcPr>
          <w:p>
            <w:pPr>
              <w:spacing w:after="0" w:line="264"/>
            </w:pPr>
            <w:r>
              <w:rPr>
                <w:b w:val="false"/>
                <w:bCs w:val="false"/>
                <w:sz w:val="20"/>
                <w:szCs w:val="20"/>
              </w:rPr>
              <w:t xml:space="preserve">JRC Citizen Pushback; Landlust / Urbane Dörfer</w:t>
            </w:r>
          </w:p>
        </w:tc>
      </w:tr>
      <w:tr>
        <w:tc>
          <w:tcPr>
            <w:tcW w:type="dxa" w:w="2600"/>
            <w:shd w:fill="EAF1F8" w:val="clear"/>
            <w:tcMar>
              <w:top w:type="dxa" w:w="60"/>
              <w:left w:type="dxa" w:w="90"/>
              <w:bottom w:type="dxa" w:w="60"/>
              <w:right w:type="dxa" w:w="90"/>
            </w:tcMar>
          </w:tcPr>
          <w:p>
            <w:pPr>
              <w:spacing w:after="0" w:line="264"/>
            </w:pPr>
            <w:r>
              <w:rPr>
                <w:b w:val="false"/>
                <w:bCs w:val="false"/>
                <w:sz w:val="20"/>
                <w:szCs w:val="20"/>
              </w:rPr>
              <w:t xml:space="preserve">④.4 Gesellschaftliche Resignation</w:t>
            </w:r>
          </w:p>
        </w:tc>
        <w:tc>
          <w:tcPr>
            <w:tcW w:type="dxa" w:w="4438"/>
            <w:shd w:fill="EAF1F8" w:val="clear"/>
            <w:tcMar>
              <w:top w:type="dxa" w:w="60"/>
              <w:left w:type="dxa" w:w="90"/>
              <w:bottom w:type="dxa" w:w="60"/>
              <w:right w:type="dxa" w:w="90"/>
            </w:tcMar>
          </w:tcPr>
          <w:p>
            <w:pPr>
              <w:spacing w:after="0" w:line="264"/>
            </w:pPr>
            <w:r>
              <w:rPr>
                <w:b w:val="false"/>
                <w:bCs w:val="false"/>
                <w:sz w:val="20"/>
                <w:szCs w:val="20"/>
              </w:rPr>
              <w:t xml:space="preserve">Erschöpfung, Vertrauensverlust, das lange Siechtum; kein Aufbruch, ein Sicheinrichten.</w:t>
            </w:r>
          </w:p>
        </w:tc>
        <w:tc>
          <w:tcPr>
            <w:tcW w:type="dxa" w:w="2600"/>
            <w:shd w:fill="EAF1F8" w:val="clear"/>
            <w:tcMar>
              <w:top w:type="dxa" w:w="60"/>
              <w:left w:type="dxa" w:w="90"/>
              <w:bottom w:type="dxa" w:w="60"/>
              <w:right w:type="dxa" w:w="90"/>
            </w:tcMar>
          </w:tcPr>
          <w:p>
            <w:pPr>
              <w:spacing w:after="0" w:line="264"/>
            </w:pPr>
            <w:r>
              <w:rPr>
                <w:b w:val="false"/>
                <w:bCs w:val="false"/>
                <w:sz w:val="20"/>
                <w:szCs w:val="20"/>
              </w:rPr>
              <w:t xml:space="preserve">Countertrends (armasuisse); euer MS 8</w:t>
            </w:r>
          </w:p>
        </w:tc>
      </w:tr>
      <w:tr>
        <w:tc>
          <w:tcPr>
            <w:tcW w:type="dxa" w:w="2600"/>
            <w:tcMar>
              <w:top w:type="dxa" w:w="60"/>
              <w:left w:type="dxa" w:w="90"/>
              <w:bottom w:type="dxa" w:w="60"/>
              <w:right w:type="dxa" w:w="90"/>
            </w:tcMar>
          </w:tcPr>
          <w:p>
            <w:pPr>
              <w:spacing w:after="0" w:line="264"/>
            </w:pPr>
            <w:r>
              <w:rPr>
                <w:b w:val="false"/>
                <w:bCs w:val="false"/>
                <w:sz w:val="20"/>
                <w:szCs w:val="20"/>
              </w:rPr>
              <w:t xml:space="preserve">④.5 Resilienz als Selbstzweck</w:t>
            </w:r>
          </w:p>
        </w:tc>
        <w:tc>
          <w:tcPr>
            <w:tcW w:type="dxa" w:w="4438"/>
            <w:tcMar>
              <w:top w:type="dxa" w:w="60"/>
              <w:left w:type="dxa" w:w="90"/>
              <w:bottom w:type="dxa" w:w="60"/>
              <w:right w:type="dxa" w:w="90"/>
            </w:tcMar>
          </w:tcPr>
          <w:p>
            <w:pPr>
              <w:spacing w:after="0" w:line="264"/>
            </w:pPr>
            <w:r>
              <w:rPr>
                <w:b w:val="false"/>
                <w:bCs w:val="false"/>
                <w:sz w:val="20"/>
                <w:szCs w:val="20"/>
              </w:rPr>
              <w:t xml:space="preserve">Krisenvorsorge, Sicherheit und Prepping ohne Transformationsziel; Absicherung statt Gestaltung.</w:t>
            </w:r>
          </w:p>
        </w:tc>
        <w:tc>
          <w:tcPr>
            <w:tcW w:type="dxa" w:w="2600"/>
            <w:tcMar>
              <w:top w:type="dxa" w:w="60"/>
              <w:left w:type="dxa" w:w="90"/>
              <w:bottom w:type="dxa" w:w="60"/>
              <w:right w:type="dxa" w:w="90"/>
            </w:tcMar>
          </w:tcPr>
          <w:p>
            <w:pPr>
              <w:spacing w:after="0" w:line="264"/>
            </w:pPr>
            <w:r>
              <w:rPr>
                <w:b w:val="false"/>
                <w:bCs w:val="false"/>
                <w:sz w:val="20"/>
                <w:szCs w:val="20"/>
              </w:rPr>
              <w:t xml:space="preserve">BBSR Stresstest Stadt; TAB Krisenradar</w:t>
            </w:r>
          </w:p>
        </w:tc>
      </w:tr>
      <w:tr>
        <w:tc>
          <w:tcPr>
            <w:tcW w:type="dxa" w:w="2600"/>
            <w:shd w:fill="EAF1F8" w:val="clear"/>
            <w:tcMar>
              <w:top w:type="dxa" w:w="60"/>
              <w:left w:type="dxa" w:w="90"/>
              <w:bottom w:type="dxa" w:w="60"/>
              <w:right w:type="dxa" w:w="90"/>
            </w:tcMar>
          </w:tcPr>
          <w:p>
            <w:pPr>
              <w:spacing w:after="0" w:line="264"/>
            </w:pPr>
            <w:r>
              <w:rPr>
                <w:b w:val="false"/>
                <w:bCs w:val="false"/>
                <w:sz w:val="20"/>
                <w:szCs w:val="20"/>
              </w:rPr>
              <w:t xml:space="preserve">④.6 Ungleich verteilte Robustheit</w:t>
            </w:r>
          </w:p>
        </w:tc>
        <w:tc>
          <w:tcPr>
            <w:tcW w:type="dxa" w:w="4438"/>
            <w:shd w:fill="EAF1F8" w:val="clear"/>
            <w:tcMar>
              <w:top w:type="dxa" w:w="60"/>
              <w:left w:type="dxa" w:w="90"/>
              <w:bottom w:type="dxa" w:w="60"/>
              <w:right w:type="dxa" w:w="90"/>
            </w:tcMar>
          </w:tcPr>
          <w:p>
            <w:pPr>
              <w:spacing w:after="0" w:line="264"/>
            </w:pPr>
            <w:r>
              <w:rPr>
                <w:b w:val="false"/>
                <w:bCs w:val="false"/>
                <w:sz w:val="20"/>
                <w:szCs w:val="20"/>
              </w:rPr>
              <w:t xml:space="preserve">Wer Kapital und Lage hat, ist robust; Ungleichheit verfestigt sich entlang der Resilienz.</w:t>
            </w:r>
          </w:p>
        </w:tc>
        <w:tc>
          <w:tcPr>
            <w:tcW w:type="dxa" w:w="2600"/>
            <w:shd w:fill="EAF1F8" w:val="clear"/>
            <w:tcMar>
              <w:top w:type="dxa" w:w="60"/>
              <w:left w:type="dxa" w:w="90"/>
              <w:bottom w:type="dxa" w:w="60"/>
              <w:right w:type="dxa" w:w="90"/>
            </w:tcMar>
          </w:tcPr>
          <w:p>
            <w:pPr>
              <w:spacing w:after="0" w:line="264"/>
            </w:pPr>
            <w:r>
              <w:rPr>
                <w:b w:val="false"/>
                <w:bCs w:val="false"/>
                <w:sz w:val="20"/>
                <w:szCs w:val="20"/>
              </w:rPr>
              <w:t xml:space="preserve">DIW Mittelschicht; Refeudalisierung (Neckel)</w:t>
            </w:r>
          </w:p>
        </w:tc>
      </w:tr>
    </w:tbl>
    <w:p>
      <w:pPr>
        <w:pStyle w:val="Heading2"/>
        <w:spacing w:after="80" w:before="200"/>
      </w:pPr>
      <w:r>
        <w:rPr>
          <w:b/>
          <w:bCs/>
          <w:color w:val="1F3864"/>
          <w:sz w:val="24"/>
          <w:szCs w:val="24"/>
        </w:rPr>
        <w:t xml:space="preserve">5. Kipp- und Triggerpunkte</w:t>
      </w:r>
    </w:p>
    <w:p>
      <w:pPr>
        <w:pStyle w:val="ListParagraph"/>
        <w:numPr>
          <w:ilvl w:val="0"/>
          <w:numId w:val="1"/>
        </w:numPr>
        <w:spacing w:after="80" w:line="276"/>
      </w:pPr>
      <w:r>
        <w:rPr>
          <w:sz w:val="22"/>
          <w:szCs w:val="22"/>
        </w:rPr>
        <w:t xml:space="preserve">Wiederholte Schocks bei zugleich schwacher Kooperation, sodass gemeinsames Handeln als aussichtslos gilt.</w:t>
      </w:r>
    </w:p>
    <w:p>
      <w:pPr>
        <w:pStyle w:val="ListParagraph"/>
        <w:numPr>
          <w:ilvl w:val="0"/>
          <w:numId w:val="1"/>
        </w:numPr>
        <w:spacing w:after="80" w:line="276"/>
      </w:pPr>
      <w:r>
        <w:rPr>
          <w:sz w:val="22"/>
          <w:szCs w:val="22"/>
        </w:rPr>
        <w:t xml:space="preserve">Vertrauensverlust in zentrale Institutionen, der die Steuerung von oben delegitimiert.</w:t>
      </w:r>
    </w:p>
    <w:p>
      <w:pPr>
        <w:pStyle w:val="ListParagraph"/>
        <w:numPr>
          <w:ilvl w:val="0"/>
          <w:numId w:val="1"/>
        </w:numPr>
        <w:spacing w:after="80" w:line="276"/>
      </w:pPr>
      <w:r>
        <w:rPr>
          <w:sz w:val="22"/>
          <w:szCs w:val="22"/>
        </w:rPr>
        <w:t xml:space="preserve">Sichtbares Scheitern gerichteter Transformation, das den Rückzug ins Eigene belohnt.</w:t>
      </w:r>
    </w:p>
    <w:p>
      <w:pPr>
        <w:pStyle w:val="ListParagraph"/>
        <w:numPr>
          <w:ilvl w:val="0"/>
          <w:numId w:val="1"/>
        </w:numPr>
        <w:spacing w:after="80" w:line="276"/>
      </w:pPr>
      <w:r>
        <w:rPr>
          <w:sz w:val="22"/>
          <w:szCs w:val="22"/>
        </w:rPr>
        <w:t xml:space="preserve">Bürger-Gegenbewegung, die sich gegen Zentralität richtet, ohne eine geteilte Richtung anzubieten.</w:t>
      </w:r>
    </w:p>
    <w:p>
      <w:pPr>
        <w:pStyle w:val="Heading2"/>
        <w:spacing w:after="80" w:before="200"/>
      </w:pPr>
      <w:r>
        <w:rPr>
          <w:b/>
          <w:bCs/>
          <w:color w:val="1F3864"/>
          <w:sz w:val="24"/>
          <w:szCs w:val="24"/>
        </w:rPr>
        <w:t xml:space="preserve">6. Frühindikatoren für ein Monitoring ab 2027</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4319"/>
        <w:gridCol w:w="5319"/>
      </w:tblGrid>
      <w:tr>
        <w:trPr>
          <w:tblHeader/>
        </w:trPr>
        <w:tc>
          <w:tcPr>
            <w:tcW w:type="dxa" w:w="4319"/>
            <w:shd w:fill="1F3864" w:val="clear"/>
            <w:tcMar>
              <w:top w:type="dxa" w:w="60"/>
              <w:left w:type="dxa" w:w="90"/>
              <w:bottom w:type="dxa" w:w="60"/>
              <w:right w:type="dxa" w:w="90"/>
            </w:tcMar>
          </w:tcPr>
          <w:p>
            <w:pPr>
              <w:spacing w:after="0" w:line="264"/>
            </w:pPr>
            <w:r>
              <w:rPr>
                <w:b/>
                <w:bCs/>
                <w:color w:val="FFFFFF"/>
                <w:sz w:val="20"/>
                <w:szCs w:val="20"/>
              </w:rPr>
              <w:t xml:space="preserve">Indikator</w:t>
            </w:r>
          </w:p>
        </w:tc>
        <w:tc>
          <w:tcPr>
            <w:tcW w:type="dxa" w:w="5319"/>
            <w:shd w:fill="1F3864" w:val="clear"/>
            <w:tcMar>
              <w:top w:type="dxa" w:w="60"/>
              <w:left w:type="dxa" w:w="90"/>
              <w:bottom w:type="dxa" w:w="60"/>
              <w:right w:type="dxa" w:w="90"/>
            </w:tcMar>
          </w:tcPr>
          <w:p>
            <w:pPr>
              <w:spacing w:after="0" w:line="264"/>
            </w:pPr>
            <w:r>
              <w:rPr>
                <w:b/>
                <w:bCs/>
                <w:color w:val="FFFFFF"/>
                <w:sz w:val="20"/>
                <w:szCs w:val="20"/>
              </w:rPr>
              <w:t xml:space="preserve">Was er anzeigt</w:t>
            </w:r>
          </w:p>
        </w:tc>
      </w:tr>
      <w:tr>
        <w:tc>
          <w:tcPr>
            <w:tcW w:type="dxa" w:w="4319"/>
            <w:tcMar>
              <w:top w:type="dxa" w:w="60"/>
              <w:left w:type="dxa" w:w="90"/>
              <w:bottom w:type="dxa" w:w="60"/>
              <w:right w:type="dxa" w:w="90"/>
            </w:tcMar>
          </w:tcPr>
          <w:p>
            <w:pPr>
              <w:spacing w:after="0" w:line="264"/>
            </w:pPr>
            <w:r>
              <w:rPr>
                <w:b w:val="false"/>
                <w:bCs w:val="false"/>
                <w:sz w:val="20"/>
                <w:szCs w:val="20"/>
              </w:rPr>
              <w:t xml:space="preserve">Divergenz kommunaler Klima- und Investitionspfade</w:t>
            </w:r>
          </w:p>
        </w:tc>
        <w:tc>
          <w:tcPr>
            <w:tcW w:type="dxa" w:w="5319"/>
            <w:tcMar>
              <w:top w:type="dxa" w:w="60"/>
              <w:left w:type="dxa" w:w="90"/>
              <w:bottom w:type="dxa" w:w="60"/>
              <w:right w:type="dxa" w:w="90"/>
            </w:tcMar>
          </w:tcPr>
          <w:p>
            <w:pPr>
              <w:spacing w:after="0" w:line="264"/>
            </w:pPr>
            <w:r>
              <w:rPr>
                <w:b w:val="false"/>
                <w:bCs w:val="false"/>
                <w:sz w:val="20"/>
                <w:szCs w:val="20"/>
              </w:rPr>
              <w:t xml:space="preserve">Anpassung zerfällt in lokale Alleingänge statt gemeinsamer Strategie</w:t>
            </w:r>
          </w:p>
        </w:tc>
      </w:tr>
      <w:tr>
        <w:tc>
          <w:tcPr>
            <w:tcW w:type="dxa" w:w="4319"/>
            <w:shd w:fill="EAF1F8" w:val="clear"/>
            <w:tcMar>
              <w:top w:type="dxa" w:w="60"/>
              <w:left w:type="dxa" w:w="90"/>
              <w:bottom w:type="dxa" w:w="60"/>
              <w:right w:type="dxa" w:w="90"/>
            </w:tcMar>
          </w:tcPr>
          <w:p>
            <w:pPr>
              <w:spacing w:after="0" w:line="264"/>
            </w:pPr>
            <w:r>
              <w:rPr>
                <w:b w:val="false"/>
                <w:bCs w:val="false"/>
                <w:sz w:val="20"/>
                <w:szCs w:val="20"/>
              </w:rPr>
              <w:t xml:space="preserve">Zunahme bilateraler und regionaler Alleingänge</w:t>
            </w:r>
          </w:p>
        </w:tc>
        <w:tc>
          <w:tcPr>
            <w:tcW w:type="dxa" w:w="5319"/>
            <w:shd w:fill="EAF1F8" w:val="clear"/>
            <w:tcMar>
              <w:top w:type="dxa" w:w="60"/>
              <w:left w:type="dxa" w:w="90"/>
              <w:bottom w:type="dxa" w:w="60"/>
              <w:right w:type="dxa" w:w="90"/>
            </w:tcMar>
          </w:tcPr>
          <w:p>
            <w:pPr>
              <w:spacing w:after="0" w:line="264"/>
            </w:pPr>
            <w:r>
              <w:rPr>
                <w:b w:val="false"/>
                <w:bCs w:val="false"/>
                <w:sz w:val="20"/>
                <w:szCs w:val="20"/>
              </w:rPr>
              <w:t xml:space="preserve">Blockbildung ohne übergreifende Ordnung</w:t>
            </w:r>
          </w:p>
        </w:tc>
      </w:tr>
      <w:tr>
        <w:tc>
          <w:tcPr>
            <w:tcW w:type="dxa" w:w="4319"/>
            <w:tcMar>
              <w:top w:type="dxa" w:w="60"/>
              <w:left w:type="dxa" w:w="90"/>
              <w:bottom w:type="dxa" w:w="60"/>
              <w:right w:type="dxa" w:w="90"/>
            </w:tcMar>
          </w:tcPr>
          <w:p>
            <w:pPr>
              <w:spacing w:after="0" w:line="264"/>
            </w:pPr>
            <w:r>
              <w:rPr>
                <w:b w:val="false"/>
                <w:bCs w:val="false"/>
                <w:sz w:val="20"/>
                <w:szCs w:val="20"/>
              </w:rPr>
              <w:t xml:space="preserve">Sinkendes Institutionenvertrauen (V-Dem, Edelman)</w:t>
            </w:r>
          </w:p>
        </w:tc>
        <w:tc>
          <w:tcPr>
            <w:tcW w:type="dxa" w:w="5319"/>
            <w:tcMar>
              <w:top w:type="dxa" w:w="60"/>
              <w:left w:type="dxa" w:w="90"/>
              <w:bottom w:type="dxa" w:w="60"/>
              <w:right w:type="dxa" w:w="90"/>
            </w:tcMar>
          </w:tcPr>
          <w:p>
            <w:pPr>
              <w:spacing w:after="0" w:line="264"/>
            </w:pPr>
            <w:r>
              <w:rPr>
                <w:b w:val="false"/>
                <w:bCs w:val="false"/>
                <w:sz w:val="20"/>
                <w:szCs w:val="20"/>
              </w:rPr>
              <w:t xml:space="preserve">Delegitimierung zentraler Steuerung</w:t>
            </w:r>
          </w:p>
        </w:tc>
      </w:tr>
      <w:tr>
        <w:tc>
          <w:tcPr>
            <w:tcW w:type="dxa" w:w="4319"/>
            <w:shd w:fill="EAF1F8" w:val="clear"/>
            <w:tcMar>
              <w:top w:type="dxa" w:w="60"/>
              <w:left w:type="dxa" w:w="90"/>
              <w:bottom w:type="dxa" w:w="60"/>
              <w:right w:type="dxa" w:w="90"/>
            </w:tcMar>
          </w:tcPr>
          <w:p>
            <w:pPr>
              <w:spacing w:after="0" w:line="264"/>
            </w:pPr>
            <w:r>
              <w:rPr>
                <w:b w:val="false"/>
                <w:bCs w:val="false"/>
                <w:sz w:val="20"/>
                <w:szCs w:val="20"/>
              </w:rPr>
              <w:t xml:space="preserve">Prepping-, Selbstversorgungs- und Rückzugstrends</w:t>
            </w:r>
          </w:p>
        </w:tc>
        <w:tc>
          <w:tcPr>
            <w:tcW w:type="dxa" w:w="5319"/>
            <w:shd w:fill="EAF1F8" w:val="clear"/>
            <w:tcMar>
              <w:top w:type="dxa" w:w="60"/>
              <w:left w:type="dxa" w:w="90"/>
              <w:bottom w:type="dxa" w:w="60"/>
              <w:right w:type="dxa" w:w="90"/>
            </w:tcMar>
          </w:tcPr>
          <w:p>
            <w:pPr>
              <w:spacing w:after="0" w:line="264"/>
            </w:pPr>
            <w:r>
              <w:rPr>
                <w:b w:val="false"/>
                <w:bCs w:val="false"/>
                <w:sz w:val="20"/>
                <w:szCs w:val="20"/>
              </w:rPr>
              <w:t xml:space="preserve">Resilienz kippt zum Selbstzweck</w:t>
            </w:r>
          </w:p>
        </w:tc>
      </w:tr>
      <w:tr>
        <w:tc>
          <w:tcPr>
            <w:tcW w:type="dxa" w:w="4319"/>
            <w:tcMar>
              <w:top w:type="dxa" w:w="60"/>
              <w:left w:type="dxa" w:w="90"/>
              <w:bottom w:type="dxa" w:w="60"/>
              <w:right w:type="dxa" w:w="90"/>
            </w:tcMar>
          </w:tcPr>
          <w:p>
            <w:pPr>
              <w:spacing w:after="0" w:line="264"/>
            </w:pPr>
            <w:r>
              <w:rPr>
                <w:b w:val="false"/>
                <w:bCs w:val="false"/>
                <w:sz w:val="20"/>
                <w:szCs w:val="20"/>
              </w:rPr>
              <w:t xml:space="preserve">Wachsende Resilienz-Ungleichheit</w:t>
            </w:r>
          </w:p>
        </w:tc>
        <w:tc>
          <w:tcPr>
            <w:tcW w:type="dxa" w:w="5319"/>
            <w:tcMar>
              <w:top w:type="dxa" w:w="60"/>
              <w:left w:type="dxa" w:w="90"/>
              <w:bottom w:type="dxa" w:w="60"/>
              <w:right w:type="dxa" w:w="90"/>
            </w:tcMar>
          </w:tcPr>
          <w:p>
            <w:pPr>
              <w:spacing w:after="0" w:line="264"/>
            </w:pPr>
            <w:r>
              <w:rPr>
                <w:b w:val="false"/>
                <w:bCs w:val="false"/>
                <w:sz w:val="20"/>
                <w:szCs w:val="20"/>
              </w:rPr>
              <w:t xml:space="preserve">Robustheit koppelt an Kapital und Lage, nicht an Gemeinwohl</w:t>
            </w:r>
          </w:p>
        </w:tc>
      </w:tr>
    </w:tbl>
    <w:p>
      <w:pPr>
        <w:pStyle w:val="Heading2"/>
        <w:spacing w:after="80" w:before="200"/>
      </w:pPr>
      <w:r>
        <w:rPr>
          <w:b/>
          <w:bCs/>
          <w:color w:val="1F3864"/>
          <w:sz w:val="24"/>
          <w:szCs w:val="24"/>
        </w:rPr>
        <w:t xml:space="preserve">7. Was das für GRUNDRISSE heißt</w:t>
      </w:r>
    </w:p>
    <w:p>
      <w:pPr>
        <w:spacing w:after="120" w:line="276"/>
      </w:pPr>
      <w:r>
        <w:rPr>
          <w:sz w:val="22"/>
          <w:szCs w:val="22"/>
        </w:rPr>
        <w:t xml:space="preserve">Feld ④ zu zeichnen bedeutet, den Radikalen Kompromiss dagegen zu halten. Der Zielkonflikt lautet Konzentration gegen Fragmentierung: Zu viel Zentralität erstickt die verteilte Kraft, zu viel Fragmentierung verliert die geteilte Richtung. Der produktive Ort liegt nicht in einem der beiden Pole, sondern im ausgehandelten Korridor dazwischen. So wird aus dem leeren Quadranten ein Diskussionsangebot: nicht die Prognose eines Zerfalls, sondern die ernst genommene Möglichkeit, dass Robustheit ohne Richtung entsteht, und die Frage, welche wenigen gemeinsamen Setzungen genügen, damit aus vielen Inseln kein Archipel der Gleichgültigkeit wird.</w:t>
      </w:r>
    </w:p>
    <w:p>
      <w:r>
        <w:br w:type="page"/>
      </w:r>
    </w:p>
    <w:p>
      <w:pPr>
        <w:pStyle w:val="Heading1"/>
        <w:spacing w:after="120" w:before="240"/>
      </w:pPr>
      <w:r>
        <w:rPr>
          <w:b/>
          <w:bCs/>
          <w:color w:val="1F3864"/>
          <w:sz w:val="28"/>
          <w:szCs w:val="28"/>
        </w:rPr>
        <w:t xml:space="preserve">Teil 2 · Achsen-Robustheitscheck</w:t>
      </w:r>
    </w:p>
    <w:p>
      <w:pPr>
        <w:spacing w:after="120" w:line="276"/>
      </w:pPr>
      <w:r>
        <w:rPr>
          <w:sz w:val="22"/>
          <w:szCs w:val="22"/>
        </w:rPr>
        <w:t xml:space="preserve">Das Szenariokreuz steht und fällt mit seinen zwei Achsen. Drei Kandidatenpaare liegen vor, alle drei aus der bisherigen Arbeit. Die Frage ist nicht, welches richtig ist, sondern welches die Evidenz am besten aufspannt und die Grundrisse-Leitfrage trägt.</w:t>
      </w:r>
    </w:p>
    <w:p>
      <w:pPr>
        <w:pStyle w:val="Heading2"/>
        <w:spacing w:after="80" w:before="200"/>
      </w:pPr>
      <w:r>
        <w:rPr>
          <w:b/>
          <w:bCs/>
          <w:color w:val="1F3864"/>
          <w:sz w:val="24"/>
          <w:szCs w:val="24"/>
        </w:rPr>
        <w:t xml:space="preserve">Die drei Kandidaten</w:t>
      </w:r>
    </w:p>
    <w:p>
      <w:pPr>
        <w:pStyle w:val="ListParagraph"/>
        <w:numPr>
          <w:ilvl w:val="0"/>
          <w:numId w:val="1"/>
        </w:numPr>
        <w:spacing w:after="80" w:line="276"/>
      </w:pPr>
      <w:r>
        <w:rPr>
          <w:sz w:val="22"/>
          <w:szCs w:val="22"/>
        </w:rPr>
        <w:t xml:space="preserve">A · Steuerungslogik mal Innovationsträger (euer bisheriges Kreuz): gerichtet gegen getrieben, verteilt gegen zentral.</w:t>
      </w:r>
    </w:p>
    <w:p>
      <w:pPr>
        <w:pStyle w:val="ListParagraph"/>
        <w:numPr>
          <w:ilvl w:val="0"/>
          <w:numId w:val="1"/>
        </w:numPr>
        <w:spacing w:after="80" w:line="276"/>
      </w:pPr>
      <w:r>
        <w:rPr>
          <w:sz w:val="22"/>
          <w:szCs w:val="22"/>
        </w:rPr>
        <w:t xml:space="preserve">B · Geopolitik mal Klimaanpassung (UK Government Office for Science): fragmentiert gegen kooperativ, reaktiv gegen proaktiv.</w:t>
      </w:r>
    </w:p>
    <w:p>
      <w:pPr>
        <w:pStyle w:val="ListParagraph"/>
        <w:numPr>
          <w:ilvl w:val="0"/>
          <w:numId w:val="1"/>
        </w:numPr>
        <w:spacing w:after="80" w:line="276"/>
      </w:pPr>
      <w:r>
        <w:rPr>
          <w:sz w:val="22"/>
          <w:szCs w:val="22"/>
        </w:rPr>
        <w:t xml:space="preserve">C · Governance und Macht (JRC): Effizienz gegen echte Bürger-Agency.</w:t>
      </w:r>
    </w:p>
    <w:p>
      <w:pPr>
        <w:pStyle w:val="Heading2"/>
        <w:spacing w:after="80" w:before="200"/>
      </w:pPr>
      <w:r>
        <w:rPr>
          <w:b/>
          <w:bCs/>
          <w:color w:val="1F3864"/>
          <w:sz w:val="24"/>
          <w:szCs w:val="24"/>
        </w:rPr>
        <w:t xml:space="preserve">Bewertung an sechs Kriterien</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038"/>
        <w:gridCol w:w="2200"/>
        <w:gridCol w:w="2200"/>
        <w:gridCol w:w="2200"/>
      </w:tblGrid>
      <w:tr>
        <w:trPr>
          <w:tblHeader/>
        </w:trPr>
        <w:tc>
          <w:tcPr>
            <w:tcW w:type="dxa" w:w="3038"/>
            <w:shd w:fill="1F3864" w:val="clear"/>
            <w:tcMar>
              <w:top w:type="dxa" w:w="60"/>
              <w:left w:type="dxa" w:w="90"/>
              <w:bottom w:type="dxa" w:w="60"/>
              <w:right w:type="dxa" w:w="90"/>
            </w:tcMar>
          </w:tcPr>
          <w:p>
            <w:pPr>
              <w:spacing w:after="0" w:line="264"/>
            </w:pPr>
            <w:r>
              <w:rPr>
                <w:b/>
                <w:bCs/>
                <w:color w:val="FFFFFF"/>
                <w:sz w:val="20"/>
                <w:szCs w:val="20"/>
              </w:rPr>
              <w:t xml:space="preserve">Kriterium</w:t>
            </w:r>
          </w:p>
        </w:tc>
        <w:tc>
          <w:tcPr>
            <w:tcW w:type="dxa" w:w="2200"/>
            <w:shd w:fill="1F3864" w:val="clear"/>
            <w:tcMar>
              <w:top w:type="dxa" w:w="60"/>
              <w:left w:type="dxa" w:w="90"/>
              <w:bottom w:type="dxa" w:w="60"/>
              <w:right w:type="dxa" w:w="90"/>
            </w:tcMar>
          </w:tcPr>
          <w:p>
            <w:pPr>
              <w:spacing w:after="0" w:line="264"/>
            </w:pPr>
            <w:r>
              <w:rPr>
                <w:b/>
                <w:bCs/>
                <w:color w:val="FFFFFF"/>
                <w:sz w:val="20"/>
                <w:szCs w:val="20"/>
              </w:rPr>
              <w:t xml:space="preserve">A · Steuerung x Träger</w:t>
            </w:r>
          </w:p>
        </w:tc>
        <w:tc>
          <w:tcPr>
            <w:tcW w:type="dxa" w:w="2200"/>
            <w:shd w:fill="1F3864" w:val="clear"/>
            <w:tcMar>
              <w:top w:type="dxa" w:w="60"/>
              <w:left w:type="dxa" w:w="90"/>
              <w:bottom w:type="dxa" w:w="60"/>
              <w:right w:type="dxa" w:w="90"/>
            </w:tcMar>
          </w:tcPr>
          <w:p>
            <w:pPr>
              <w:spacing w:after="0" w:line="264"/>
            </w:pPr>
            <w:r>
              <w:rPr>
                <w:b/>
                <w:bCs/>
                <w:color w:val="FFFFFF"/>
                <w:sz w:val="20"/>
                <w:szCs w:val="20"/>
              </w:rPr>
              <w:t xml:space="preserve">B · Geopolitik x Klima</w:t>
            </w:r>
          </w:p>
        </w:tc>
        <w:tc>
          <w:tcPr>
            <w:tcW w:type="dxa" w:w="2200"/>
            <w:shd w:fill="1F3864" w:val="clear"/>
            <w:tcMar>
              <w:top w:type="dxa" w:w="60"/>
              <w:left w:type="dxa" w:w="90"/>
              <w:bottom w:type="dxa" w:w="60"/>
              <w:right w:type="dxa" w:w="90"/>
            </w:tcMar>
          </w:tcPr>
          <w:p>
            <w:pPr>
              <w:spacing w:after="0" w:line="264"/>
            </w:pPr>
            <w:r>
              <w:rPr>
                <w:b/>
                <w:bCs/>
                <w:color w:val="FFFFFF"/>
                <w:sz w:val="20"/>
                <w:szCs w:val="20"/>
              </w:rPr>
              <w:t xml:space="preserve">C · Governance x Macht</w:t>
            </w:r>
          </w:p>
        </w:tc>
      </w:tr>
      <w:tr>
        <w:tc>
          <w:tcPr>
            <w:tcW w:type="dxa" w:w="3038"/>
            <w:tcMar>
              <w:top w:type="dxa" w:w="60"/>
              <w:left w:type="dxa" w:w="90"/>
              <w:bottom w:type="dxa" w:w="60"/>
              <w:right w:type="dxa" w:w="90"/>
            </w:tcMar>
          </w:tcPr>
          <w:p>
            <w:pPr>
              <w:spacing w:after="0" w:line="264"/>
            </w:pPr>
            <w:r>
              <w:rPr>
                <w:b w:val="false"/>
                <w:bCs w:val="false"/>
                <w:sz w:val="20"/>
                <w:szCs w:val="20"/>
              </w:rPr>
              <w:t xml:space="preserve">Unabhängigkeit der Achsen</w:t>
            </w:r>
          </w:p>
        </w:tc>
        <w:tc>
          <w:tcPr>
            <w:tcW w:type="dxa" w:w="2200"/>
            <w:tcMar>
              <w:top w:type="dxa" w:w="60"/>
              <w:left w:type="dxa" w:w="90"/>
              <w:bottom w:type="dxa" w:w="60"/>
              <w:right w:type="dxa" w:w="90"/>
            </w:tcMar>
          </w:tcPr>
          <w:p>
            <w:pPr>
              <w:spacing w:after="0" w:line="264"/>
            </w:pPr>
            <w:r>
              <w:rPr>
                <w:b w:val="false"/>
                <w:bCs w:val="false"/>
                <w:sz w:val="20"/>
                <w:szCs w:val="20"/>
              </w:rPr>
              <w:t xml:space="preserve">hoch</w:t>
            </w:r>
          </w:p>
        </w:tc>
        <w:tc>
          <w:tcPr>
            <w:tcW w:type="dxa" w:w="2200"/>
            <w:tcMar>
              <w:top w:type="dxa" w:w="60"/>
              <w:left w:type="dxa" w:w="90"/>
              <w:bottom w:type="dxa" w:w="60"/>
              <w:right w:type="dxa" w:w="90"/>
            </w:tcMar>
          </w:tcPr>
          <w:p>
            <w:pPr>
              <w:spacing w:after="0" w:line="264"/>
            </w:pPr>
            <w:r>
              <w:rPr>
                <w:b w:val="false"/>
                <w:bCs w:val="false"/>
                <w:sz w:val="20"/>
                <w:szCs w:val="20"/>
              </w:rPr>
              <w:t xml:space="preserve">hoch</w:t>
            </w:r>
          </w:p>
        </w:tc>
        <w:tc>
          <w:tcPr>
            <w:tcW w:type="dxa" w:w="2200"/>
            <w:tcMar>
              <w:top w:type="dxa" w:w="60"/>
              <w:left w:type="dxa" w:w="90"/>
              <w:bottom w:type="dxa" w:w="60"/>
              <w:right w:type="dxa" w:w="90"/>
            </w:tcMar>
          </w:tcPr>
          <w:p>
            <w:pPr>
              <w:spacing w:after="0" w:line="264"/>
            </w:pPr>
            <w:r>
              <w:rPr>
                <w:b w:val="false"/>
                <w:bCs w:val="false"/>
                <w:sz w:val="20"/>
                <w:szCs w:val="20"/>
              </w:rPr>
              <w:t xml:space="preserve">mittel</w:t>
            </w:r>
          </w:p>
        </w:tc>
      </w:tr>
      <w:tr>
        <w:tc>
          <w:tcPr>
            <w:tcW w:type="dxa" w:w="3038"/>
            <w:shd w:fill="EAF1F8" w:val="clear"/>
            <w:tcMar>
              <w:top w:type="dxa" w:w="60"/>
              <w:left w:type="dxa" w:w="90"/>
              <w:bottom w:type="dxa" w:w="60"/>
              <w:right w:type="dxa" w:w="90"/>
            </w:tcMar>
          </w:tcPr>
          <w:p>
            <w:pPr>
              <w:spacing w:after="0" w:line="264"/>
            </w:pPr>
            <w:r>
              <w:rPr>
                <w:b w:val="false"/>
                <w:bCs w:val="false"/>
                <w:sz w:val="20"/>
                <w:szCs w:val="20"/>
              </w:rPr>
              <w:t xml:space="preserve">Unsicherheit mal Wirkung</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hoch</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sehr hoch</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hoch</w:t>
            </w:r>
          </w:p>
        </w:tc>
      </w:tr>
      <w:tr>
        <w:tc>
          <w:tcPr>
            <w:tcW w:type="dxa" w:w="3038"/>
            <w:tcMar>
              <w:top w:type="dxa" w:w="60"/>
              <w:left w:type="dxa" w:w="90"/>
              <w:bottom w:type="dxa" w:w="60"/>
              <w:right w:type="dxa" w:w="90"/>
            </w:tcMar>
          </w:tcPr>
          <w:p>
            <w:pPr>
              <w:spacing w:after="0" w:line="264"/>
            </w:pPr>
            <w:r>
              <w:rPr>
                <w:b w:val="false"/>
                <w:bCs w:val="false"/>
                <w:sz w:val="20"/>
                <w:szCs w:val="20"/>
              </w:rPr>
              <w:t xml:space="preserve">Deckt Kumlis Lücken (Klima, Geopolitik)</w:t>
            </w:r>
          </w:p>
        </w:tc>
        <w:tc>
          <w:tcPr>
            <w:tcW w:type="dxa" w:w="2200"/>
            <w:tcMar>
              <w:top w:type="dxa" w:w="60"/>
              <w:left w:type="dxa" w:w="90"/>
              <w:bottom w:type="dxa" w:w="60"/>
              <w:right w:type="dxa" w:w="90"/>
            </w:tcMar>
          </w:tcPr>
          <w:p>
            <w:pPr>
              <w:spacing w:after="0" w:line="264"/>
            </w:pPr>
            <w:r>
              <w:rPr>
                <w:b w:val="false"/>
                <w:bCs w:val="false"/>
                <w:sz w:val="20"/>
                <w:szCs w:val="20"/>
              </w:rPr>
              <w:t xml:space="preserve">schwach</w:t>
            </w:r>
          </w:p>
        </w:tc>
        <w:tc>
          <w:tcPr>
            <w:tcW w:type="dxa" w:w="2200"/>
            <w:tcMar>
              <w:top w:type="dxa" w:w="60"/>
              <w:left w:type="dxa" w:w="90"/>
              <w:bottom w:type="dxa" w:w="60"/>
              <w:right w:type="dxa" w:w="90"/>
            </w:tcMar>
          </w:tcPr>
          <w:p>
            <w:pPr>
              <w:spacing w:after="0" w:line="264"/>
            </w:pPr>
            <w:r>
              <w:rPr>
                <w:b w:val="false"/>
                <w:bCs w:val="false"/>
                <w:sz w:val="20"/>
                <w:szCs w:val="20"/>
              </w:rPr>
              <w:t xml:space="preserve">stark</w:t>
            </w:r>
          </w:p>
        </w:tc>
        <w:tc>
          <w:tcPr>
            <w:tcW w:type="dxa" w:w="2200"/>
            <w:tcMar>
              <w:top w:type="dxa" w:w="60"/>
              <w:left w:type="dxa" w:w="90"/>
              <w:bottom w:type="dxa" w:w="60"/>
              <w:right w:type="dxa" w:w="90"/>
            </w:tcMar>
          </w:tcPr>
          <w:p>
            <w:pPr>
              <w:spacing w:after="0" w:line="264"/>
            </w:pPr>
            <w:r>
              <w:rPr>
                <w:b w:val="false"/>
                <w:bCs w:val="false"/>
                <w:sz w:val="20"/>
                <w:szCs w:val="20"/>
              </w:rPr>
              <w:t xml:space="preserve">schwach</w:t>
            </w:r>
          </w:p>
        </w:tc>
      </w:tr>
      <w:tr>
        <w:tc>
          <w:tcPr>
            <w:tcW w:type="dxa" w:w="3038"/>
            <w:shd w:fill="EAF1F8" w:val="clear"/>
            <w:tcMar>
              <w:top w:type="dxa" w:w="60"/>
              <w:left w:type="dxa" w:w="90"/>
              <w:bottom w:type="dxa" w:w="60"/>
              <w:right w:type="dxa" w:w="90"/>
            </w:tcMar>
          </w:tcPr>
          <w:p>
            <w:pPr>
              <w:spacing w:after="0" w:line="264"/>
            </w:pPr>
            <w:r>
              <w:rPr>
                <w:b w:val="false"/>
                <w:bCs w:val="false"/>
                <w:sz w:val="20"/>
                <w:szCs w:val="20"/>
              </w:rPr>
              <w:t xml:space="preserve">Anschluss an Leitfrage Mensch-Technik</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stark</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schwach</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mittel</w:t>
            </w:r>
          </w:p>
        </w:tc>
      </w:tr>
      <w:tr>
        <w:tc>
          <w:tcPr>
            <w:tcW w:type="dxa" w:w="3038"/>
            <w:tcMar>
              <w:top w:type="dxa" w:w="60"/>
              <w:left w:type="dxa" w:w="90"/>
              <w:bottom w:type="dxa" w:w="60"/>
              <w:right w:type="dxa" w:w="90"/>
            </w:tcMar>
          </w:tcPr>
          <w:p>
            <w:pPr>
              <w:spacing w:after="0" w:line="264"/>
            </w:pPr>
            <w:r>
              <w:rPr>
                <w:b w:val="false"/>
                <w:bCs w:val="false"/>
                <w:sz w:val="20"/>
                <w:szCs w:val="20"/>
              </w:rPr>
              <w:t xml:space="preserve">Füllt Feld ④ mit konkretem Bild</w:t>
            </w:r>
          </w:p>
        </w:tc>
        <w:tc>
          <w:tcPr>
            <w:tcW w:type="dxa" w:w="2200"/>
            <w:tcMar>
              <w:top w:type="dxa" w:w="60"/>
              <w:left w:type="dxa" w:w="90"/>
              <w:bottom w:type="dxa" w:w="60"/>
              <w:right w:type="dxa" w:w="90"/>
            </w:tcMar>
          </w:tcPr>
          <w:p>
            <w:pPr>
              <w:spacing w:after="0" w:line="264"/>
            </w:pPr>
            <w:r>
              <w:rPr>
                <w:b w:val="false"/>
                <w:bCs w:val="false"/>
                <w:sz w:val="20"/>
                <w:szCs w:val="20"/>
              </w:rPr>
              <w:t xml:space="preserve">schwer</w:t>
            </w:r>
          </w:p>
        </w:tc>
        <w:tc>
          <w:tcPr>
            <w:tcW w:type="dxa" w:w="2200"/>
            <w:tcMar>
              <w:top w:type="dxa" w:w="60"/>
              <w:left w:type="dxa" w:w="90"/>
              <w:bottom w:type="dxa" w:w="60"/>
              <w:right w:type="dxa" w:w="90"/>
            </w:tcMar>
          </w:tcPr>
          <w:p>
            <w:pPr>
              <w:spacing w:after="0" w:line="264"/>
            </w:pPr>
            <w:r>
              <w:rPr>
                <w:b w:val="false"/>
                <w:bCs w:val="false"/>
                <w:sz w:val="20"/>
                <w:szCs w:val="20"/>
              </w:rPr>
              <w:t xml:space="preserve">ja (Island in the Storm)</w:t>
            </w:r>
          </w:p>
        </w:tc>
        <w:tc>
          <w:tcPr>
            <w:tcW w:type="dxa" w:w="2200"/>
            <w:tcMar>
              <w:top w:type="dxa" w:w="60"/>
              <w:left w:type="dxa" w:w="90"/>
              <w:bottom w:type="dxa" w:w="60"/>
              <w:right w:type="dxa" w:w="90"/>
            </w:tcMar>
          </w:tcPr>
          <w:p>
            <w:pPr>
              <w:spacing w:after="0" w:line="264"/>
            </w:pPr>
            <w:r>
              <w:rPr>
                <w:b w:val="false"/>
                <w:bCs w:val="false"/>
                <w:sz w:val="20"/>
                <w:szCs w:val="20"/>
              </w:rPr>
              <w:t xml:space="preserve">teilweise</w:t>
            </w:r>
          </w:p>
        </w:tc>
      </w:tr>
      <w:tr>
        <w:tc>
          <w:tcPr>
            <w:tcW w:type="dxa" w:w="3038"/>
            <w:shd w:fill="EAF1F8" w:val="clear"/>
            <w:tcMar>
              <w:top w:type="dxa" w:w="60"/>
              <w:left w:type="dxa" w:w="90"/>
              <w:bottom w:type="dxa" w:w="60"/>
              <w:right w:type="dxa" w:w="90"/>
            </w:tcMar>
          </w:tcPr>
          <w:p>
            <w:pPr>
              <w:spacing w:after="0" w:line="264"/>
            </w:pPr>
            <w:r>
              <w:rPr>
                <w:b w:val="false"/>
                <w:bCs w:val="false"/>
                <w:sz w:val="20"/>
                <w:szCs w:val="20"/>
              </w:rPr>
              <w:t xml:space="preserve">Kommunizierbar im Team und nach außen</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mittel</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hoch</w:t>
            </w:r>
          </w:p>
        </w:tc>
        <w:tc>
          <w:tcPr>
            <w:tcW w:type="dxa" w:w="2200"/>
            <w:shd w:fill="EAF1F8" w:val="clear"/>
            <w:tcMar>
              <w:top w:type="dxa" w:w="60"/>
              <w:left w:type="dxa" w:w="90"/>
              <w:bottom w:type="dxa" w:w="60"/>
              <w:right w:type="dxa" w:w="90"/>
            </w:tcMar>
          </w:tcPr>
          <w:p>
            <w:pPr>
              <w:spacing w:after="0" w:line="264"/>
            </w:pPr>
            <w:r>
              <w:rPr>
                <w:b w:val="false"/>
                <w:bCs w:val="false"/>
                <w:sz w:val="20"/>
                <w:szCs w:val="20"/>
              </w:rPr>
              <w:t xml:space="preserve">mittel</w:t>
            </w:r>
          </w:p>
        </w:tc>
      </w:tr>
    </w:tbl>
    <w:p>
      <w:pPr>
        <w:pStyle w:val="Heading2"/>
        <w:spacing w:after="80" w:before="200"/>
      </w:pPr>
      <w:r>
        <w:rPr>
          <w:b/>
          <w:bCs/>
          <w:color w:val="1F3864"/>
          <w:sz w:val="24"/>
          <w:szCs w:val="24"/>
        </w:rPr>
        <w:t xml:space="preserve">Empfehlung</w:t>
      </w:r>
    </w:p>
    <w:p>
      <w:pPr>
        <w:spacing w:after="120" w:line="276"/>
      </w:pPr>
      <w:r>
        <w:rPr>
          <w:sz w:val="22"/>
          <w:szCs w:val="22"/>
        </w:rPr>
        <w:t xml:space="preserve">Keine der drei Achsen allein trägt alles. A trägt die Werte- und Beteiligungsfrage, an der euch liegt, lässt aber Klima und Geopolitik als eigene Dimension vermissen und füllt ④ nur schwer. B ist konkreter und robuster, koppelt jedes Szenario an einen Emissionspfad und besetzt ④ mit einem greifbaren Bild, verliert aber die Leitfrage nach Mensch und Technik. C ist stark für Demokratie und Plattformmacht, aber eng.</w:t>
      </w:r>
    </w:p>
    <w:p>
      <w:pPr>
        <w:spacing w:after="120" w:line="276"/>
      </w:pPr>
      <w:r>
        <w:rPr>
          <w:sz w:val="22"/>
          <w:szCs w:val="22"/>
        </w:rPr>
        <w:t xml:space="preserve">Vorschlag: zweistufig arbeiten, nicht entweder oder. Die eigene Achse A bleibt das Werteraster, von dem aus ihr die Felder deutet, denn dort sitzt der Anker der Ko-evolutiven Republik. Darüber legt ihr die UK-Achsen B als Strukturtest, weil sie Klima und Geopolitik hereinholen, also genau Kumlis Lücken, und weil sie Feld ④ endlich mit einem konkreten Bild füllen. Ueber allen vier Feldern liegen zwei äußere Schranken: die planetaren Grenzen und die Kontrollierbarkeit der KI. So entsteht ein kleiner Morphologiekasten statt eines einzigen Kreuzes, und die Grundsatzfrage fürs Kern-Team ist präzise: ein Kreuz oder zwei.</w:t>
      </w:r>
    </w:p>
    <w:p>
      <w:pPr>
        <w:pStyle w:val="Heading2"/>
        <w:spacing w:after="80" w:before="200"/>
      </w:pPr>
      <w:r>
        <w:rPr>
          <w:b/>
          <w:bCs/>
          <w:color w:val="1F3864"/>
          <w:sz w:val="24"/>
          <w:szCs w:val="24"/>
        </w:rPr>
        <w:t xml:space="preserve">Lieferschein</w:t>
      </w:r>
    </w:p>
    <w:p>
      <w:pPr>
        <w:spacing w:after="120" w:line="276"/>
      </w:pPr>
      <w:r>
        <w:rPr>
          <w:sz w:val="20"/>
          <w:szCs w:val="20"/>
        </w:rPr>
        <w:t xml:space="preserve">Geprüft: Feld-④-Seeds aus dem Register belegt, außen mit aktuellen Quellen gegengeprüft (EEA, SEI, NIC, Geopolitical Monitor). Achsenbewertung interpretativ an sechs Kriterien.</w:t>
      </w:r>
    </w:p>
    <w:p>
      <w:pPr>
        <w:spacing w:after="120" w:line="276"/>
      </w:pPr>
      <w:r>
        <w:rPr>
          <w:sz w:val="20"/>
          <w:szCs w:val="20"/>
        </w:rPr>
        <w:t xml:space="preserve">Unsicher: die Bewertung ist eine begründete Setzung, keine Messung; die Frühindikatoren sind Vorschläge, noch kein fertiges Monitoring-Set.</w:t>
      </w:r>
    </w:p>
    <w:p>
      <w:pPr>
        <w:spacing w:after="120" w:line="276"/>
      </w:pPr>
      <w:r>
        <w:rPr>
          <w:sz w:val="20"/>
          <w:szCs w:val="20"/>
        </w:rPr>
        <w:t xml:space="preserve">Zu entscheiden: ein Szenariokreuz oder ein Morphologiekasten aus zwei Kreuzen; und ob aus den sechs Spotlights ein ausgearbeitetes ④-Stück werden soll.</w:t>
      </w:r>
    </w:p>
    <w:p>
      <w:pPr>
        <w:spacing w:after="120" w:line="276"/>
      </w:pPr>
      <w:r>
        <w:rPr>
          <w:color w:val="595959"/>
          <w:sz w:val="18"/>
          <w:szCs w:val="18"/>
        </w:rPr>
        <w:t xml:space="preserve">Quellen (Auswahl): EEA / Climate Advisory Board (Klimaanpassung Europa, 2026); Stockholm Environment Institute, Navigating a changing world order (2024); NIC Global Trends 2040 (2021); Geopolitical Monitor, Europe in Flux (2026); UK Gov. Office for Science, Global Supply Chains (2026); JRC, Futures of EU Democracy (2026); armasuisse Countertrends; sowie das Grundrisse-Foresight-Register v10.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Feld ④ Fragmentierte Resilienz · Tiefbohrung und Achsencheck · Seite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2026-08-06T16:06:38.526Z</dcterms:created>
  <dcterms:modified xsi:type="dcterms:W3CDTF">2026-08-06T16:06:38.526Z</dcterms:modified>
</cp:coreProperties>
</file>

<file path=docProps/custom.xml><?xml version="1.0" encoding="utf-8"?>
<Properties xmlns="http://schemas.openxmlformats.org/officeDocument/2006/custom-properties" xmlns:vt="http://schemas.openxmlformats.org/officeDocument/2006/docPropsVTypes"/>
</file>