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4"/>
          <w:szCs w:val="44"/>
        </w:rPr>
        <w:t xml:space="preserve">GRUNDRISSE</w:t>
      </w:r>
    </w:p>
    <w:p>
      <w:pPr>
        <w:spacing w:after="40"/>
      </w:pPr>
      <w:r>
        <w:rPr>
          <w:color w:val="1F3864"/>
          <w:sz w:val="28"/>
          <w:szCs w:val="28"/>
        </w:rPr>
        <w:t xml:space="preserve">Unser Zugang zur Zukunft der Gesellschaft</w:t>
      </w:r>
    </w:p>
    <w:p>
      <w:pPr>
        <w:spacing w:after="200" w:line="288"/>
      </w:pPr>
      <w:r>
        <w:rPr>
          <w:color w:val="595959"/>
          <w:sz w:val="20"/>
          <w:szCs w:val="20"/>
        </w:rPr>
        <w:t xml:space="preserve">Diskussionsgrundlage fürs Kern-Team. Von der Fragestellung über das Vorgehen bis zu den erwarteten Ergebnissen. Stand: 7. August 2026, v1. GRUNDRISSE (D2030 / D2045).</w:t>
      </w:r>
    </w:p>
    <w:p>
      <w:pPr>
        <w:spacing w:after="200" w:line="288"/>
      </w:pPr>
      <w:r>
        <w:rPr>
          <w:i/>
          <w:iCs/>
          <w:color w:val="595959"/>
          <w:sz w:val="21"/>
          <w:szCs w:val="21"/>
        </w:rPr>
        <w:t xml:space="preserve">In einem Satz: GRUNDRISSE ist kein Blatt im Wind. Wir kommen mit einer eigenen Frage an die Zukunft der Gesellschaft, gewachsen aus unseren Szenarioanalysen von 2018 und 2024, und wir halten sie an das Feld, nicht verbissen, sondern in Verbindung zu den anderen Autoren, Studien und Diskursen, um sie zu bestätigen, zu schärfen oder zu verschieben.</w:t>
      </w:r>
    </w:p>
    <w:p>
      <w:pPr>
        <w:spacing w:after="180" w:line="288"/>
      </w:pPr>
      <w:r>
        <w:rPr>
          <w:sz w:val="22"/>
          <w:szCs w:val="22"/>
        </w:rPr>
        <w:t xml:space="preserve">Dieses Papier beschreibt nicht das Projekt in seiner ganzen Breite, das leistet die Argumentation v3 vom 18. Juli. Es beschreibt unseren Zugang: die Frage, mit der wir an die Zukunft herangehen, das Vorgehen, mit dem wir sie bearbeiten, und die Quellen- und Analysebasis, an der wir uns messen lassen. Es macht damit sichtbar, worauf die Setzungen ruhen und wo wir bewusst offen bleiben.</w:t>
      </w:r>
    </w:p>
    <w:p>
      <w:pPr>
        <w:pStyle w:val="Heading1"/>
        <w:spacing w:after="140" w:before="300"/>
      </w:pPr>
      <w:r>
        <w:rPr>
          <w:b/>
          <w:bCs/>
          <w:color w:val="1F3864"/>
          <w:sz w:val="28"/>
          <w:szCs w:val="28"/>
        </w:rPr>
        <w:t xml:space="preserve">Teil 1 · Die Fragestellung, woher sie kommt und was sie ist</w:t>
      </w:r>
    </w:p>
    <w:p>
      <w:pPr>
        <w:pStyle w:val="Heading2"/>
        <w:spacing w:after="90" w:before="220"/>
      </w:pPr>
      <w:r>
        <w:rPr>
          <w:b/>
          <w:bCs/>
          <w:color w:val="1F3864"/>
          <w:sz w:val="24"/>
          <w:szCs w:val="24"/>
        </w:rPr>
        <w:t xml:space="preserve">1.1 Gewachsen, nicht gesetzt</w:t>
      </w:r>
    </w:p>
    <w:p>
      <w:pPr>
        <w:spacing w:after="140" w:line="288"/>
      </w:pPr>
      <w:r>
        <w:rPr>
          <w:sz w:val="22"/>
          <w:szCs w:val="22"/>
        </w:rPr>
        <w:t xml:space="preserve">Wir fangen nicht bei null an, und wir setzen unsere Leitfrage nicht aus der Luft. Mit Deutschland neu denken (2018) liegt die Landkarte des Möglichen vor, mit Neue Horizonte 2045 (2024) der Kompass zum Wünschbaren. Beide waren auf der Höhe ihrer Zeit, beide beschreiben Entwicklungen, keine beschreibt Brüche, weil beide aus ihrer eigenen Gegenwart heraus gedacht sind. Genau aus der Arbeit an diesen beiden Studien ist die Frage gewachsen, die GRUNDRISSE trägt. Sie ist ein Ergebnis unserer eigenen Vorarbeit, keine Setzung, die wir dem Material überstülpen. Das ist wichtig für die Debatte am Samstag: Wenn wir unsere Frage an fremde Studien halten, prüfen wir sie, wir bestätigen sie nicht bloß.</w:t>
      </w:r>
    </w:p>
    <w:p>
      <w:pPr>
        <w:spacing w:after="140" w:line="288"/>
      </w:pPr>
      <w:r>
        <w:rPr>
          <w:sz w:val="22"/>
          <w:szCs w:val="22"/>
        </w:rPr>
        <w:t xml:space="preserve">Dass die Bedingungen von 2018 und 2024 nicht mehr gelten, zeigen fünf Strukturbrüche, die das Argumentationspapier ausarbeitet:</w:t>
      </w:r>
    </w:p>
    <w:p>
      <w:pPr>
        <w:pStyle w:val="ListParagraph"/>
        <w:numPr>
          <w:ilvl w:val="0"/>
          <w:numId w:val="1"/>
        </w:numPr>
        <w:spacing w:after="90" w:line="288"/>
      </w:pPr>
      <w:r>
        <w:rPr>
          <w:sz w:val="22"/>
          <w:szCs w:val="22"/>
        </w:rPr>
        <w:t xml:space="preserve">Geopolitischer Regimewechsel. Krieg in Europa, Chinas Hegemonialanspruch, Erosion der regelbasierten Ordnung. Geopolitik ist Bedingungsraum, nicht mehr Randbedingung.</w:t>
      </w:r>
    </w:p>
    <w:p>
      <w:pPr>
        <w:pStyle w:val="ListParagraph"/>
        <w:numPr>
          <w:ilvl w:val="0"/>
          <w:numId w:val="1"/>
        </w:numPr>
        <w:spacing w:after="90" w:line="288"/>
      </w:pPr>
      <w:r>
        <w:rPr>
          <w:sz w:val="22"/>
          <w:szCs w:val="22"/>
        </w:rPr>
        <w:t xml:space="preserve">Künstliche Intelligenz als Querschnittsdisruption. Generative Modelle verändern Arbeit, Wissen, Militär, Öffentlichkeit und Governance zugleich.</w:t>
      </w:r>
    </w:p>
    <w:p>
      <w:pPr>
        <w:pStyle w:val="ListParagraph"/>
        <w:numPr>
          <w:ilvl w:val="0"/>
          <w:numId w:val="1"/>
        </w:numPr>
        <w:spacing w:after="90" w:line="288"/>
      </w:pPr>
      <w:r>
        <w:rPr>
          <w:sz w:val="22"/>
          <w:szCs w:val="22"/>
        </w:rPr>
        <w:t xml:space="preserve">Demokratische Erosion in Kernländern. Polarisierung, Desinformation und Vertrauensverlust haben Schwellen überschritten.</w:t>
      </w:r>
    </w:p>
    <w:p>
      <w:pPr>
        <w:pStyle w:val="ListParagraph"/>
        <w:numPr>
          <w:ilvl w:val="0"/>
          <w:numId w:val="1"/>
        </w:numPr>
        <w:spacing w:after="90" w:line="288"/>
      </w:pPr>
      <w:r>
        <w:rPr>
          <w:sz w:val="22"/>
          <w:szCs w:val="22"/>
        </w:rPr>
        <w:t xml:space="preserve">Polykrise als Dauerzustand. Die Gleichzeitigkeit der Krisen ist Bedingung des Möglichen, nicht Hintergrundrisiko.</w:t>
      </w:r>
    </w:p>
    <w:p>
      <w:pPr>
        <w:pStyle w:val="ListParagraph"/>
        <w:numPr>
          <w:ilvl w:val="0"/>
          <w:numId w:val="1"/>
        </w:numPr>
        <w:spacing w:after="90" w:line="288"/>
      </w:pPr>
      <w:r>
        <w:rPr>
          <w:sz w:val="22"/>
          <w:szCs w:val="22"/>
        </w:rPr>
        <w:t xml:space="preserve">Plattformökonomie als Foresight-Akteur. Wer mit KI-Modellen arbeitet, operiert in der politischen Ökonomie ihrer Anbieter. Das verändert das Verhältnis von Methode und Gegenstand.</w:t>
      </w:r>
    </w:p>
    <w:p>
      <w:pPr>
        <w:pStyle w:val="Heading2"/>
        <w:spacing w:after="90" w:before="220"/>
      </w:pPr>
      <w:r>
        <w:rPr>
          <w:b/>
          <w:bCs/>
          <w:color w:val="1F3864"/>
          <w:sz w:val="24"/>
          <w:szCs w:val="24"/>
        </w:rPr>
        <w:t xml:space="preserve">1.2 Der Grundvertrag der Moderne ist abgelaufen</w:t>
      </w:r>
    </w:p>
    <w:p>
      <w:pPr>
        <w:spacing w:after="140" w:line="288"/>
      </w:pPr>
      <w:r>
        <w:rPr>
          <w:sz w:val="22"/>
          <w:szCs w:val="22"/>
        </w:rPr>
        <w:t xml:space="preserve">Hinter den fünf Brüchen steht eine Diagnose, die tiefer reicht als jede einzelne Krise: Der Grundvertrag der Moderne ist abgelaufen. Vier Pfeiler haben ihn getragen, und alle vier tragen nicht mehr, gleichzeitig. Die Natur war Ressource, die Technik war Werkzeug, das Wachstum war das Versprechen, das alle Konflikte befriedete, und die Welt war im Zweifel groß genug. Auf diesem Grund steht alles, was wir Wohlstand und Sozialstaat nennen.</w:t>
      </w:r>
    </w:p>
    <w:p>
      <w:pPr>
        <w:spacing w:after="140" w:line="288"/>
      </w:pPr>
      <w:r>
        <w:rPr>
          <w:sz w:val="22"/>
          <w:szCs w:val="22"/>
        </w:rPr>
        <w:t xml:space="preserve">Das ist kein Endzeit-Ton, sondern eine nüchterne Bestandsaufnahme. Wir renovieren nicht das Gebäude, wir tarieren das Fundament neu. Deshalb der Name: Im Grundriss steckt der Riss, der Sprung im Fundament und der Entwurf auf dem Reißbrett sind dasselbe Wort, und der Plural erledigt jedes Zielbild-Gerede. Mehrere Entwürfe nebeneinander, über die gestritten werden muss.</w:t>
      </w:r>
    </w:p>
    <w:p>
      <w:pPr>
        <w:pStyle w:val="Heading2"/>
        <w:spacing w:after="90" w:before="220"/>
      </w:pPr>
      <w:r>
        <w:rPr>
          <w:b/>
          <w:bCs/>
          <w:color w:val="1F3864"/>
          <w:sz w:val="24"/>
          <w:szCs w:val="24"/>
        </w:rPr>
        <w:t xml:space="preserve">1.3 Die Leitfrage: die Neubestimmung des Menschen</w:t>
      </w:r>
    </w:p>
    <w:p>
      <w:pPr>
        <w:spacing w:after="140" w:line="288"/>
      </w:pPr>
      <w:r>
        <w:rPr>
          <w:sz w:val="22"/>
          <w:szCs w:val="22"/>
        </w:rPr>
        <w:t xml:space="preserve">Aus der Diagnose folgt die Leitfrage. Das eigentlich Neue an GRUNDRISSE ist nicht ein weiterer Trend, sondern eine Neubestimmung des Menschen. Der Mensch rückt aus der Mitte, und Selbstbegrenzung ist die Folge, nicht als Verzicht verordnet, sondern als Einsicht in ein neues Verhältnis von Mensch, Technik und Natur auf einem endlichen Planeten. Das ist die Frage, an der sich alle Spotlights, alle Faktoren und am Ende alle Vollszenarien messen lassen müssen.</w:t>
      </w:r>
    </w:p>
    <w:p>
      <w:pPr>
        <w:spacing w:after="140" w:line="288"/>
      </w:pPr>
      <w:r>
        <w:rPr>
          <w:sz w:val="22"/>
          <w:szCs w:val="22"/>
        </w:rPr>
        <w:t xml:space="preserve">Wir stehen mit dieser Frage nicht allein, und das ist ein Vorzug, kein Mangel. Hartmut Rosas Soziologie der Weltbeziehung liefert die begriffliche Rückendeckung: die moderne Weltbeziehung als fortgesetzte Verfügbarmachung, die an ihre Grenze kommt, und Resonanz statt bloßer Steigerung als Gegenbegriff. In der langen Linie reicht die Frage bis zu Marx zurück, dessen Maschinenfragment sie 1858 zum ersten Mal stellt und die unser Spotlight zum Produktivitätssprung heute erzählt: Wenn Maschinen und gesellschaftliches Wissen die Produktion tragen, wem gehört der Gewinn, und was fangen wir mit frei werdender Zeit an?</w:t>
      </w:r>
    </w:p>
    <w:p>
      <w:pPr>
        <w:pStyle w:val="Heading2"/>
        <w:spacing w:after="90" w:before="220"/>
      </w:pPr>
      <w:r>
        <w:rPr>
          <w:b/>
          <w:bCs/>
          <w:color w:val="1F3864"/>
          <w:sz w:val="24"/>
          <w:szCs w:val="24"/>
        </w:rPr>
        <w:t xml:space="preserve">1.4 Unsere Haltung</w:t>
      </w:r>
    </w:p>
    <w:p>
      <w:pPr>
        <w:spacing w:after="140" w:line="288"/>
      </w:pPr>
      <w:r>
        <w:rPr>
          <w:sz w:val="22"/>
          <w:szCs w:val="22"/>
        </w:rPr>
        <w:t xml:space="preserve">Wir haben eine Frage, keine Gewissheit. Der Zugang ist forschend, nicht verkündend. Wir setzen unsere Diagnose an den Anfang, damit sie prüfbar ist, und wir stellen sie bewusst in den Zusammenhang der anderen. Aus unserer Foresight-Kompetenz kommt die Frage an die Zukunft der Gesellschaft, aus dem Feld kommt die Reibung, an der sie sich bewähren muss. Beides zusammen macht den Zugang belastbar.</w:t>
      </w:r>
    </w:p>
    <w:p>
      <w:r>
        <w:br w:type="page"/>
      </w:r>
    </w:p>
    <w:p>
      <w:pPr>
        <w:pStyle w:val="Heading1"/>
        <w:spacing w:after="140" w:before="300"/>
      </w:pPr>
      <w:r>
        <w:rPr>
          <w:b/>
          <w:bCs/>
          <w:color w:val="1F3864"/>
          <w:sz w:val="28"/>
          <w:szCs w:val="28"/>
        </w:rPr>
        <w:t xml:space="preserve">Teil 2 · Das Vorgehen</w:t>
      </w:r>
    </w:p>
    <w:p>
      <w:pPr>
        <w:pStyle w:val="Heading2"/>
        <w:spacing w:after="90" w:before="220"/>
      </w:pPr>
      <w:r>
        <w:rPr>
          <w:b/>
          <w:bCs/>
          <w:color w:val="1F3864"/>
          <w:sz w:val="24"/>
          <w:szCs w:val="24"/>
        </w:rPr>
        <w:t xml:space="preserve">2.1 Die Grundbewegung: inverse Szenariologik</w:t>
      </w:r>
    </w:p>
    <w:p>
      <w:pPr>
        <w:spacing w:after="140" w:line="288"/>
      </w:pPr>
      <w:r>
        <w:rPr>
          <w:sz w:val="22"/>
          <w:szCs w:val="22"/>
        </w:rPr>
        <w:t xml:space="preserve">Das klassische Szenario-Management arbeitet von Schlüsselfaktoren über Projektionen zu Szenarien. Wir kehren die Reihenfolge um. Zehn bis dreizehn zugespitzte Mini-Szenarien dienen als Sonden in den Möglichkeitsraum. Aus ihnen ziehen wir die Schlüsselfaktoren, vergleichen sie mit dem Set von 2018, verdichten sie zu einem aktualisierten Katalog und bauen daraus wieder konsistente Vollszenarien. Der Umweg über die Bilder ist der Preis dafür, dass wir nicht bloß fortschreiben, sondern die Architektur des Möglichkeitsraums selbst prüfen. Erst weit öffnen, dann prüfen und zusammenführen, dann offenhalten und beobachten.</w:t>
      </w:r>
    </w:p>
    <w:p>
      <w:pPr>
        <w:pStyle w:val="Heading2"/>
        <w:spacing w:after="90" w:before="220"/>
      </w:pPr>
      <w:r>
        <w:rPr>
          <w:b/>
          <w:bCs/>
          <w:color w:val="1F3864"/>
          <w:sz w:val="24"/>
          <w:szCs w:val="24"/>
        </w:rPr>
        <w:t xml:space="preserve">2.2 Der geopolitische Boden: vier Rahmenszenarien</w:t>
      </w:r>
    </w:p>
    <w:p>
      <w:pPr>
        <w:spacing w:after="140" w:line="288"/>
      </w:pPr>
      <w:r>
        <w:rPr>
          <w:sz w:val="22"/>
          <w:szCs w:val="22"/>
        </w:rPr>
        <w:t xml:space="preserve">Jedes Mini-Szenario spielt auf einem von vier Rahmenszenarien der Weltordnung. Damit korrigieren wir die Ausklammerung externer Treiber von 2018 und schließen die Europa-Lücke von 2024. Wichtig für die Debatte: Diese vier Rahmen sind gut begründet, aber sie sind eine Arbeitshypothese, kein gesetztes Raster. Die Analyse kann sie stützen oder herausfordern.</w:t>
      </w:r>
    </w:p>
    <w:tbl>
      <w:tblPr>
        <w:tblW w:type="dxa" w:w="9638"/>
        <w:tblBorders>
          <w:top w:val="single" w:color="D9D9D9" w:sz="2"/>
          <w:left w:val="single" w:color="D9D9D9" w:sz="2"/>
          <w:bottom w:val="single" w:color="D9D9D9" w:sz="2"/>
          <w:right w:val="single" w:color="D9D9D9" w:sz="2"/>
          <w:insideH w:val="single" w:color="D9D9D9" w:sz="2"/>
          <w:insideV w:val="single" w:color="D9D9D9" w:sz="2"/>
        </w:tblBorders>
      </w:tblPr>
      <w:tblGrid>
        <w:gridCol w:w="3038"/>
        <w:gridCol w:w="6600"/>
      </w:tblGrid>
      <w:tr>
        <w:trPr>
          <w:tblHeader/>
        </w:trPr>
        <w:tc>
          <w:tcPr>
            <w:tcW w:type="dxa" w:w="3038"/>
            <w:shd w:fill="1F3864" w:val="clear"/>
            <w:tcMar>
              <w:top w:type="dxa" w:w="60"/>
              <w:left w:type="dxa" w:w="90"/>
              <w:bottom w:type="dxa" w:w="60"/>
              <w:right w:type="dxa" w:w="90"/>
            </w:tcMar>
          </w:tcPr>
          <w:p>
            <w:pPr>
              <w:spacing w:after="0" w:line="264"/>
            </w:pPr>
            <w:r>
              <w:rPr>
                <w:b/>
                <w:bCs/>
                <w:color w:val="FFFFFF"/>
                <w:sz w:val="20"/>
                <w:szCs w:val="20"/>
              </w:rPr>
              <w:t xml:space="preserve">Rahmen</w:t>
            </w:r>
          </w:p>
        </w:tc>
        <w:tc>
          <w:tcPr>
            <w:tcW w:type="dxa" w:w="6600"/>
            <w:shd w:fill="1F3864" w:val="clear"/>
            <w:tcMar>
              <w:top w:type="dxa" w:w="60"/>
              <w:left w:type="dxa" w:w="90"/>
              <w:bottom w:type="dxa" w:w="60"/>
              <w:right w:type="dxa" w:w="90"/>
            </w:tcMar>
          </w:tcPr>
          <w:p>
            <w:pPr>
              <w:spacing w:after="0" w:line="264"/>
            </w:pPr>
            <w:r>
              <w:rPr>
                <w:b/>
                <w:bCs/>
                <w:color w:val="FFFFFF"/>
                <w:sz w:val="20"/>
                <w:szCs w:val="20"/>
              </w:rPr>
              <w:t xml:space="preserve">Kurzprofil</w:t>
            </w:r>
          </w:p>
        </w:tc>
      </w:tr>
      <w:tr>
        <w:tc>
          <w:tcPr>
            <w:tcW w:type="dxa" w:w="3038"/>
            <w:tcMar>
              <w:top w:type="dxa" w:w="60"/>
              <w:left w:type="dxa" w:w="90"/>
              <w:bottom w:type="dxa" w:w="60"/>
              <w:right w:type="dxa" w:w="90"/>
            </w:tcMar>
          </w:tcPr>
          <w:p>
            <w:pPr>
              <w:spacing w:after="0" w:line="264"/>
            </w:pPr>
            <w:r>
              <w:rPr>
                <w:b/>
                <w:bCs/>
                <w:sz w:val="20"/>
                <w:szCs w:val="20"/>
              </w:rPr>
              <w:t xml:space="preserve">R1 · Kooperative Neuordnung</w:t>
            </w:r>
          </w:p>
        </w:tc>
        <w:tc>
          <w:tcPr>
            <w:tcW w:type="dxa" w:w="6600"/>
            <w:tcMar>
              <w:top w:type="dxa" w:w="60"/>
              <w:left w:type="dxa" w:w="90"/>
              <w:bottom w:type="dxa" w:w="60"/>
              <w:right w:type="dxa" w:w="90"/>
            </w:tcMar>
          </w:tcPr>
          <w:p>
            <w:pPr>
              <w:spacing w:after="0" w:line="264"/>
            </w:pPr>
            <w:r>
              <w:rPr>
                <w:b w:val="false"/>
                <w:bCs w:val="false"/>
                <w:sz w:val="20"/>
                <w:szCs w:val="20"/>
              </w:rPr>
              <w:t xml:space="preserve">Die regelbasierte Ordnung findet in neuer Form zusammen; Kooperation trägt die großen Transformationen.</w:t>
            </w:r>
          </w:p>
        </w:tc>
      </w:tr>
      <w:tr>
        <w:tc>
          <w:tcPr>
            <w:tcW w:type="dxa" w:w="3038"/>
            <w:shd w:fill="EAF1F8" w:val="clear"/>
            <w:tcMar>
              <w:top w:type="dxa" w:w="60"/>
              <w:left w:type="dxa" w:w="90"/>
              <w:bottom w:type="dxa" w:w="60"/>
              <w:right w:type="dxa" w:w="90"/>
            </w:tcMar>
          </w:tcPr>
          <w:p>
            <w:pPr>
              <w:spacing w:after="0" w:line="264"/>
            </w:pPr>
            <w:r>
              <w:rPr>
                <w:b/>
                <w:bCs/>
                <w:sz w:val="20"/>
                <w:szCs w:val="20"/>
              </w:rPr>
              <w:t xml:space="preserve">R2 · Systemkonflikt-Dauerzustand</w:t>
            </w:r>
          </w:p>
        </w:tc>
        <w:tc>
          <w:tcPr>
            <w:tcW w:type="dxa" w:w="6600"/>
            <w:shd w:fill="EAF1F8" w:val="clear"/>
            <w:tcMar>
              <w:top w:type="dxa" w:w="60"/>
              <w:left w:type="dxa" w:w="90"/>
              <w:bottom w:type="dxa" w:w="60"/>
              <w:right w:type="dxa" w:w="90"/>
            </w:tcMar>
          </w:tcPr>
          <w:p>
            <w:pPr>
              <w:spacing w:after="0" w:line="264"/>
            </w:pPr>
            <w:r>
              <w:rPr>
                <w:b w:val="false"/>
                <w:bCs w:val="false"/>
                <w:sz w:val="20"/>
                <w:szCs w:val="20"/>
              </w:rPr>
              <w:t xml:space="preserve">Blockkonfrontation als Normalzustand; Wettbewerb der Systeme prägt jeden Möglichkeitsraum.</w:t>
            </w:r>
          </w:p>
        </w:tc>
      </w:tr>
      <w:tr>
        <w:tc>
          <w:tcPr>
            <w:tcW w:type="dxa" w:w="3038"/>
            <w:tcMar>
              <w:top w:type="dxa" w:w="60"/>
              <w:left w:type="dxa" w:w="90"/>
              <w:bottom w:type="dxa" w:w="60"/>
              <w:right w:type="dxa" w:w="90"/>
            </w:tcMar>
          </w:tcPr>
          <w:p>
            <w:pPr>
              <w:spacing w:after="0" w:line="264"/>
            </w:pPr>
            <w:r>
              <w:rPr>
                <w:b/>
                <w:bCs/>
                <w:sz w:val="20"/>
                <w:szCs w:val="20"/>
              </w:rPr>
              <w:t xml:space="preserve">R3 · Fragmentierte Welt</w:t>
            </w:r>
          </w:p>
        </w:tc>
        <w:tc>
          <w:tcPr>
            <w:tcW w:type="dxa" w:w="6600"/>
            <w:tcMar>
              <w:top w:type="dxa" w:w="60"/>
              <w:left w:type="dxa" w:w="90"/>
              <w:bottom w:type="dxa" w:w="60"/>
              <w:right w:type="dxa" w:w="90"/>
            </w:tcMar>
          </w:tcPr>
          <w:p>
            <w:pPr>
              <w:spacing w:after="0" w:line="264"/>
            </w:pPr>
            <w:r>
              <w:rPr>
                <w:b w:val="false"/>
                <w:bCs w:val="false"/>
                <w:sz w:val="20"/>
                <w:szCs w:val="20"/>
              </w:rPr>
              <w:t xml:space="preserve">Zerfall in Silos und Alleingänge; Resilienz ohne geteilte Richtung, der Boden unseres leeren Feldes.</w:t>
            </w:r>
          </w:p>
        </w:tc>
      </w:tr>
      <w:tr>
        <w:tc>
          <w:tcPr>
            <w:tcW w:type="dxa" w:w="3038"/>
            <w:shd w:fill="EAF1F8" w:val="clear"/>
            <w:tcMar>
              <w:top w:type="dxa" w:w="60"/>
              <w:left w:type="dxa" w:w="90"/>
              <w:bottom w:type="dxa" w:w="60"/>
              <w:right w:type="dxa" w:w="90"/>
            </w:tcMar>
          </w:tcPr>
          <w:p>
            <w:pPr>
              <w:spacing w:after="0" w:line="264"/>
            </w:pPr>
            <w:r>
              <w:rPr>
                <w:b/>
                <w:bCs/>
                <w:sz w:val="20"/>
                <w:szCs w:val="20"/>
              </w:rPr>
              <w:t xml:space="preserve">R4 · Europäische Souveränität</w:t>
            </w:r>
          </w:p>
        </w:tc>
        <w:tc>
          <w:tcPr>
            <w:tcW w:type="dxa" w:w="6600"/>
            <w:shd w:fill="EAF1F8" w:val="clear"/>
            <w:tcMar>
              <w:top w:type="dxa" w:w="60"/>
              <w:left w:type="dxa" w:w="90"/>
              <w:bottom w:type="dxa" w:w="60"/>
              <w:right w:type="dxa" w:w="90"/>
            </w:tcMar>
          </w:tcPr>
          <w:p>
            <w:pPr>
              <w:spacing w:after="0" w:line="264"/>
            </w:pPr>
            <w:r>
              <w:rPr>
                <w:b w:val="false"/>
                <w:bCs w:val="false"/>
                <w:sz w:val="20"/>
                <w:szCs w:val="20"/>
              </w:rPr>
              <w:t xml:space="preserve">Europa als eigene Achse; die Lesart, missionsökonomisch oder sicherheitslogisch, ist am Samstag zu entscheiden.</w:t>
            </w:r>
          </w:p>
        </w:tc>
      </w:tr>
    </w:tbl>
    <w:p>
      <w:pPr>
        <w:pStyle w:val="Heading2"/>
        <w:spacing w:after="90" w:before="220"/>
      </w:pPr>
      <w:r>
        <w:rPr>
          <w:b/>
          <w:bCs/>
          <w:color w:val="1F3864"/>
          <w:sz w:val="24"/>
          <w:szCs w:val="24"/>
        </w:rPr>
        <w:t xml:space="preserve">2.3 Die Aushandlungs-Maschine</w:t>
      </w:r>
    </w:p>
    <w:p>
      <w:pPr>
        <w:spacing w:after="140" w:line="288"/>
      </w:pPr>
      <w:r>
        <w:rPr>
          <w:sz w:val="22"/>
          <w:szCs w:val="22"/>
        </w:rPr>
        <w:t xml:space="preserve">Drei Bausteine bilden zusammen ein Instrument, das der Zyklus zweimal braucht. Am Anfang arbeitet es als Spotlight-Maschine, die zugespitzte Bilder erzeugt und schärft. Am Ende arbeitet es als Maschine der Radikalen Kompromisse, die aus den Szenarien die Zielkonflikte holt, Kompromissentwürfe liefert und sie vergleichbar macht. Der Mechanismus bleibt beide Male derselbe: ordnen, erzeugen, sichtbar machen, mit wenigen Kennzahlen wägen, zurückspiegeln. Entscheiden tut das Kern-Team.</w:t>
      </w:r>
    </w:p>
    <w:p>
      <w:pPr>
        <w:spacing w:after="140" w:line="288"/>
      </w:pPr>
      <w:r>
        <w:rPr>
          <w:sz w:val="22"/>
          <w:szCs w:val="22"/>
        </w:rPr>
        <w:t xml:space="preserve">Erstens die Bewertungs-Trias für die Mini-Szenarien, die auf der Ebene der Bilder die klassische Trias aus Gegenwartsnähe, Erwartung und Wünschbarkeit ablöst:</w:t>
      </w:r>
    </w:p>
    <w:tbl>
      <w:tblPr>
        <w:tblW w:type="dxa" w:w="9638"/>
        <w:tblBorders>
          <w:top w:val="single" w:color="D9D9D9" w:sz="2"/>
          <w:left w:val="single" w:color="D9D9D9" w:sz="2"/>
          <w:bottom w:val="single" w:color="D9D9D9" w:sz="2"/>
          <w:right w:val="single" w:color="D9D9D9" w:sz="2"/>
          <w:insideH w:val="single" w:color="D9D9D9" w:sz="2"/>
          <w:insideV w:val="single" w:color="D9D9D9" w:sz="2"/>
        </w:tblBorders>
      </w:tblPr>
      <w:tblGrid>
        <w:gridCol w:w="3400"/>
        <w:gridCol w:w="6238"/>
      </w:tblGrid>
      <w:tr>
        <w:trPr>
          <w:tblHeader/>
        </w:trPr>
        <w:tc>
          <w:tcPr>
            <w:tcW w:type="dxa" w:w="3400"/>
            <w:shd w:fill="1F3864" w:val="clear"/>
            <w:tcMar>
              <w:top w:type="dxa" w:w="60"/>
              <w:left w:type="dxa" w:w="90"/>
              <w:bottom w:type="dxa" w:w="60"/>
              <w:right w:type="dxa" w:w="90"/>
            </w:tcMar>
          </w:tcPr>
          <w:p>
            <w:pPr>
              <w:spacing w:after="0" w:line="264"/>
            </w:pPr>
            <w:r>
              <w:rPr>
                <w:b/>
                <w:bCs/>
                <w:color w:val="FFFFFF"/>
                <w:sz w:val="20"/>
                <w:szCs w:val="20"/>
              </w:rPr>
              <w:t xml:space="preserve">Kriterium</w:t>
            </w:r>
          </w:p>
        </w:tc>
        <w:tc>
          <w:tcPr>
            <w:tcW w:type="dxa" w:w="6238"/>
            <w:shd w:fill="1F3864" w:val="clear"/>
            <w:tcMar>
              <w:top w:type="dxa" w:w="60"/>
              <w:left w:type="dxa" w:w="90"/>
              <w:bottom w:type="dxa" w:w="60"/>
              <w:right w:type="dxa" w:w="90"/>
            </w:tcMar>
          </w:tcPr>
          <w:p>
            <w:pPr>
              <w:spacing w:after="0" w:line="264"/>
            </w:pPr>
            <w:r>
              <w:rPr>
                <w:b/>
                <w:bCs/>
                <w:color w:val="FFFFFF"/>
                <w:sz w:val="20"/>
                <w:szCs w:val="20"/>
              </w:rPr>
              <w:t xml:space="preserve">Was es misst</w:t>
            </w:r>
          </w:p>
        </w:tc>
      </w:tr>
      <w:tr>
        <w:tc>
          <w:tcPr>
            <w:tcW w:type="dxa" w:w="3400"/>
            <w:tcMar>
              <w:top w:type="dxa" w:w="60"/>
              <w:left w:type="dxa" w:w="90"/>
              <w:bottom w:type="dxa" w:w="60"/>
              <w:right w:type="dxa" w:w="90"/>
            </w:tcMar>
          </w:tcPr>
          <w:p>
            <w:pPr>
              <w:spacing w:after="0" w:line="264"/>
            </w:pPr>
            <w:r>
              <w:rPr>
                <w:b/>
                <w:bCs/>
                <w:sz w:val="20"/>
                <w:szCs w:val="20"/>
              </w:rPr>
              <w:t xml:space="preserve">Plausibilitäts-Kraft</w:t>
            </w:r>
          </w:p>
        </w:tc>
        <w:tc>
          <w:tcPr>
            <w:tcW w:type="dxa" w:w="6238"/>
            <w:tcMar>
              <w:top w:type="dxa" w:w="60"/>
              <w:left w:type="dxa" w:w="90"/>
              <w:bottom w:type="dxa" w:w="60"/>
              <w:right w:type="dxa" w:w="90"/>
            </w:tcMar>
          </w:tcPr>
          <w:p>
            <w:pPr>
              <w:spacing w:after="0" w:line="264"/>
            </w:pPr>
            <w:r>
              <w:rPr>
                <w:b w:val="false"/>
                <w:bCs w:val="false"/>
                <w:sz w:val="20"/>
                <w:szCs w:val="20"/>
              </w:rPr>
              <w:t xml:space="preserve">Ist das Bild in sich stimmig und anschlussfähig an belegbare Dynamiken?</w:t>
            </w:r>
          </w:p>
        </w:tc>
      </w:tr>
      <w:tr>
        <w:tc>
          <w:tcPr>
            <w:tcW w:type="dxa" w:w="3400"/>
            <w:shd w:fill="EAF1F8" w:val="clear"/>
            <w:tcMar>
              <w:top w:type="dxa" w:w="60"/>
              <w:left w:type="dxa" w:w="90"/>
              <w:bottom w:type="dxa" w:w="60"/>
              <w:right w:type="dxa" w:w="90"/>
            </w:tcMar>
          </w:tcPr>
          <w:p>
            <w:pPr>
              <w:spacing w:after="0" w:line="264"/>
            </w:pPr>
            <w:r>
              <w:rPr>
                <w:b/>
                <w:bCs/>
                <w:sz w:val="20"/>
                <w:szCs w:val="20"/>
              </w:rPr>
              <w:t xml:space="preserve">Diagnostische Kraft</w:t>
            </w:r>
          </w:p>
        </w:tc>
        <w:tc>
          <w:tcPr>
            <w:tcW w:type="dxa" w:w="6238"/>
            <w:shd w:fill="EAF1F8" w:val="clear"/>
            <w:tcMar>
              <w:top w:type="dxa" w:w="60"/>
              <w:left w:type="dxa" w:w="90"/>
              <w:bottom w:type="dxa" w:w="60"/>
              <w:right w:type="dxa" w:w="90"/>
            </w:tcMar>
          </w:tcPr>
          <w:p>
            <w:pPr>
              <w:spacing w:after="0" w:line="264"/>
            </w:pPr>
            <w:r>
              <w:rPr>
                <w:b w:val="false"/>
                <w:bCs w:val="false"/>
                <w:sz w:val="20"/>
                <w:szCs w:val="20"/>
              </w:rPr>
              <w:t xml:space="preserve">Was macht das Bild an der Gegenwart sichtbar, das sonst verborgen bleibt?</w:t>
            </w:r>
          </w:p>
        </w:tc>
      </w:tr>
      <w:tr>
        <w:tc>
          <w:tcPr>
            <w:tcW w:type="dxa" w:w="3400"/>
            <w:tcMar>
              <w:top w:type="dxa" w:w="60"/>
              <w:left w:type="dxa" w:w="90"/>
              <w:bottom w:type="dxa" w:w="60"/>
              <w:right w:type="dxa" w:w="90"/>
            </w:tcMar>
          </w:tcPr>
          <w:p>
            <w:pPr>
              <w:spacing w:after="0" w:line="264"/>
            </w:pPr>
            <w:r>
              <w:rPr>
                <w:b/>
                <w:bCs/>
                <w:sz w:val="20"/>
                <w:szCs w:val="20"/>
              </w:rPr>
              <w:t xml:space="preserve">Radikalkompromiss-Fähigkeit</w:t>
            </w:r>
          </w:p>
        </w:tc>
        <w:tc>
          <w:tcPr>
            <w:tcW w:type="dxa" w:w="6238"/>
            <w:tcMar>
              <w:top w:type="dxa" w:w="60"/>
              <w:left w:type="dxa" w:w="90"/>
              <w:bottom w:type="dxa" w:w="60"/>
              <w:right w:type="dxa" w:w="90"/>
            </w:tcMar>
          </w:tcPr>
          <w:p>
            <w:pPr>
              <w:spacing w:after="0" w:line="264"/>
            </w:pPr>
            <w:r>
              <w:rPr>
                <w:b w:val="false"/>
                <w:bCs w:val="false"/>
                <w:sz w:val="20"/>
                <w:szCs w:val="20"/>
              </w:rPr>
              <w:t xml:space="preserve">Legt das Bild einen Zielkonflikt frei, über den sich produktiv streiten lässt?</w:t>
            </w:r>
          </w:p>
        </w:tc>
      </w:tr>
    </w:tbl>
    <w:p>
      <w:pPr>
        <w:spacing w:after="140" w:line="288"/>
      </w:pPr>
      <w:r>
        <w:rPr>
          <w:sz w:val="22"/>
          <w:szCs w:val="22"/>
        </w:rPr>
        <w:t xml:space="preserve">Zweitens die Mensch-KI-Werkstatt als offen dokumentierte Praxis. Klar definierte KI-Rollen arbeiten dem Team zu, Modelle werden namentlich genannt, Output wird im Vier-Augen-Prinzip geprüft und gegen externe Quellen abgesichert. Der Mensch entscheidet. Drittens die Verzahnung mit den Radikalen Kompromissen, die Foresight nicht bei Bildern enden lässt, sondern in die Aushandlung führt. Das ist der eigentliche politische Mehrwert gegenüber beiden Vorgängerstudien.</w:t>
      </w:r>
    </w:p>
    <w:p>
      <w:pPr>
        <w:pStyle w:val="Heading2"/>
        <w:spacing w:after="90" w:before="220"/>
      </w:pPr>
      <w:r>
        <w:rPr>
          <w:b/>
          <w:bCs/>
          <w:color w:val="1F3864"/>
          <w:sz w:val="24"/>
          <w:szCs w:val="24"/>
        </w:rPr>
        <w:t xml:space="preserve">2.4 Der Foresight-Atlas als eigenständige, uns unterscheidende Quelle</w:t>
      </w:r>
    </w:p>
    <w:p>
      <w:pPr>
        <w:spacing w:after="140" w:line="288"/>
      </w:pPr>
      <w:r>
        <w:rPr>
          <w:sz w:val="22"/>
          <w:szCs w:val="22"/>
        </w:rPr>
        <w:t xml:space="preserve">Damit die inverse Szenariologik nicht im luftleeren Raum arbeitet, steht unter ihr eine kuratierte empirische Basis: das Grundrisse-Foresight-Register, in seiner räumlichen Form der Atlas. Es ist kein Anhang und kein Literaturverzeichnis, sondern ein eigenständiger methodischer Baustein und zugleich das, was uns von einer bloßen Meinung unterscheidet. Wer eine eigene Frage an die Zukunft stellt, muss zeigen, worauf sie ruht und woran sie sich reibt. Das leistet der Atlas.</w:t>
      </w:r>
    </w:p>
    <w:p>
      <w:pPr>
        <w:spacing w:after="140" w:line="288"/>
      </w:pPr>
      <w:r>
        <w:rPr>
          <w:sz w:val="22"/>
          <w:szCs w:val="22"/>
        </w:rPr>
        <w:t xml:space="preserve">Der Bestand umfasst 200 kuratierte Quellen. Der Foresight-Strom von Frank Kumli ist darin eine Quelle unter mehreren, ein internationaler Seismograph, nicht mehr das Zentrum. Neu und für die lange Linie entscheidend ist der Kanon des Feldes: die prägenden Studien seit dem Bruch von 1989 und die Signale davor, die den Bruch angekündigt haben, von Flechtheim und Jungk über Meadows, Toffler und Beck bis zu Frey und Osborne, Raworth, Zuboff und Rosa. Erst mit dieser Tiefe zeigt eine Lückenkarte die Lücken des Feldes und nicht die unserer Stichprobe.</w:t>
      </w:r>
    </w:p>
    <w:tbl>
      <w:tblPr>
        <w:tblW w:type="dxa" w:w="9638"/>
        <w:tblBorders>
          <w:top w:val="single" w:color="D9D9D9" w:sz="2"/>
          <w:left w:val="single" w:color="D9D9D9" w:sz="2"/>
          <w:bottom w:val="single" w:color="D9D9D9" w:sz="2"/>
          <w:right w:val="single" w:color="D9D9D9" w:sz="2"/>
          <w:insideH w:val="single" w:color="D9D9D9" w:sz="2"/>
          <w:insideV w:val="single" w:color="D9D9D9" w:sz="2"/>
        </w:tblBorders>
      </w:tblPr>
      <w:tblGrid>
        <w:gridCol w:w="3038"/>
        <w:gridCol w:w="1100"/>
        <w:gridCol w:w="5500"/>
      </w:tblGrid>
      <w:tr>
        <w:trPr>
          <w:tblHeader/>
        </w:trPr>
        <w:tc>
          <w:tcPr>
            <w:tcW w:type="dxa" w:w="3038"/>
            <w:shd w:fill="1F3864" w:val="clear"/>
            <w:tcMar>
              <w:top w:type="dxa" w:w="60"/>
              <w:left w:type="dxa" w:w="90"/>
              <w:bottom w:type="dxa" w:w="60"/>
              <w:right w:type="dxa" w:w="90"/>
            </w:tcMar>
          </w:tcPr>
          <w:p>
            <w:pPr>
              <w:spacing w:after="0" w:line="264"/>
            </w:pPr>
            <w:r>
              <w:rPr>
                <w:b/>
                <w:bCs/>
                <w:color w:val="FFFFFF"/>
                <w:sz w:val="20"/>
                <w:szCs w:val="20"/>
              </w:rPr>
              <w:t xml:space="preserve">Herkunft</w:t>
            </w:r>
          </w:p>
        </w:tc>
        <w:tc>
          <w:tcPr>
            <w:tcW w:type="dxa" w:w="1100"/>
            <w:shd w:fill="1F3864" w:val="clear"/>
            <w:tcMar>
              <w:top w:type="dxa" w:w="60"/>
              <w:left w:type="dxa" w:w="90"/>
              <w:bottom w:type="dxa" w:w="60"/>
              <w:right w:type="dxa" w:w="90"/>
            </w:tcMar>
          </w:tcPr>
          <w:p>
            <w:pPr>
              <w:spacing w:after="0" w:line="264"/>
            </w:pPr>
            <w:r>
              <w:rPr>
                <w:b/>
                <w:bCs/>
                <w:color w:val="FFFFFF"/>
                <w:sz w:val="20"/>
                <w:szCs w:val="20"/>
              </w:rPr>
              <w:t xml:space="preserve">Titel</w:t>
            </w:r>
          </w:p>
        </w:tc>
        <w:tc>
          <w:tcPr>
            <w:tcW w:type="dxa" w:w="5500"/>
            <w:shd w:fill="1F3864" w:val="clear"/>
            <w:tcMar>
              <w:top w:type="dxa" w:w="60"/>
              <w:left w:type="dxa" w:w="90"/>
              <w:bottom w:type="dxa" w:w="60"/>
              <w:right w:type="dxa" w:w="90"/>
            </w:tcMar>
          </w:tcPr>
          <w:p>
            <w:pPr>
              <w:spacing w:after="0" w:line="264"/>
            </w:pPr>
            <w:r>
              <w:rPr>
                <w:b/>
                <w:bCs/>
                <w:color w:val="FFFFFF"/>
                <w:sz w:val="20"/>
                <w:szCs w:val="20"/>
              </w:rPr>
              <w:t xml:space="preserve">Rolle im Zugang</w:t>
            </w:r>
          </w:p>
        </w:tc>
      </w:tr>
      <w:tr>
        <w:tc>
          <w:tcPr>
            <w:tcW w:type="dxa" w:w="3038"/>
            <w:tcMar>
              <w:top w:type="dxa" w:w="60"/>
              <w:left w:type="dxa" w:w="90"/>
              <w:bottom w:type="dxa" w:w="60"/>
              <w:right w:type="dxa" w:w="90"/>
            </w:tcMar>
          </w:tcPr>
          <w:p>
            <w:pPr>
              <w:spacing w:after="0" w:line="264"/>
            </w:pPr>
            <w:r>
              <w:rPr>
                <w:b/>
                <w:bCs/>
                <w:sz w:val="20"/>
                <w:szCs w:val="20"/>
              </w:rPr>
              <w:t xml:space="preserve">Bibliothek (Material)</w:t>
            </w:r>
          </w:p>
        </w:tc>
        <w:tc>
          <w:tcPr>
            <w:tcW w:type="dxa" w:w="1100"/>
            <w:tcMar>
              <w:top w:type="dxa" w:w="60"/>
              <w:left w:type="dxa" w:w="90"/>
              <w:bottom w:type="dxa" w:w="60"/>
              <w:right w:type="dxa" w:w="90"/>
            </w:tcMar>
          </w:tcPr>
          <w:p>
            <w:pPr>
              <w:spacing w:after="0" w:line="264"/>
            </w:pPr>
            <w:r>
              <w:rPr>
                <w:b w:val="false"/>
                <w:bCs w:val="false"/>
                <w:sz w:val="20"/>
                <w:szCs w:val="20"/>
              </w:rPr>
              <w:t xml:space="preserve">136</w:t>
            </w:r>
          </w:p>
        </w:tc>
        <w:tc>
          <w:tcPr>
            <w:tcW w:type="dxa" w:w="5500"/>
            <w:tcMar>
              <w:top w:type="dxa" w:w="60"/>
              <w:left w:type="dxa" w:w="90"/>
              <w:bottom w:type="dxa" w:w="60"/>
              <w:right w:type="dxa" w:w="90"/>
            </w:tcMar>
          </w:tcPr>
          <w:p>
            <w:pPr>
              <w:spacing w:after="0" w:line="264"/>
            </w:pPr>
            <w:r>
              <w:rPr>
                <w:b w:val="false"/>
                <w:bCs w:val="false"/>
                <w:sz w:val="20"/>
                <w:szCs w:val="20"/>
              </w:rPr>
              <w:t xml:space="preserve">Kuratierte Zeittiefe: Staat, Innovation, planetare Grenzen, Stadt, lange Linien</w:t>
            </w:r>
          </w:p>
        </w:tc>
      </w:tr>
      <w:tr>
        <w:tc>
          <w:tcPr>
            <w:tcW w:type="dxa" w:w="3038"/>
            <w:shd w:fill="EAF1F8" w:val="clear"/>
            <w:tcMar>
              <w:top w:type="dxa" w:w="60"/>
              <w:left w:type="dxa" w:w="90"/>
              <w:bottom w:type="dxa" w:w="60"/>
              <w:right w:type="dxa" w:w="90"/>
            </w:tcMar>
          </w:tcPr>
          <w:p>
            <w:pPr>
              <w:spacing w:after="0" w:line="264"/>
            </w:pPr>
            <w:r>
              <w:rPr>
                <w:b/>
                <w:bCs/>
                <w:sz w:val="20"/>
                <w:szCs w:val="20"/>
              </w:rPr>
              <w:t xml:space="preserve">Kumli-Kernstudien</w:t>
            </w:r>
          </w:p>
        </w:tc>
        <w:tc>
          <w:tcPr>
            <w:tcW w:type="dxa" w:w="1100"/>
            <w:shd w:fill="EAF1F8" w:val="clear"/>
            <w:tcMar>
              <w:top w:type="dxa" w:w="60"/>
              <w:left w:type="dxa" w:w="90"/>
              <w:bottom w:type="dxa" w:w="60"/>
              <w:right w:type="dxa" w:w="90"/>
            </w:tcMar>
          </w:tcPr>
          <w:p>
            <w:pPr>
              <w:spacing w:after="0" w:line="264"/>
            </w:pPr>
            <w:r>
              <w:rPr>
                <w:b w:val="false"/>
                <w:bCs w:val="false"/>
                <w:sz w:val="20"/>
                <w:szCs w:val="20"/>
              </w:rPr>
              <w:t xml:space="preserve">8</w:t>
            </w:r>
          </w:p>
        </w:tc>
        <w:tc>
          <w:tcPr>
            <w:tcW w:type="dxa" w:w="5500"/>
            <w:shd w:fill="EAF1F8" w:val="clear"/>
            <w:tcMar>
              <w:top w:type="dxa" w:w="60"/>
              <w:left w:type="dxa" w:w="90"/>
              <w:bottom w:type="dxa" w:w="60"/>
              <w:right w:type="dxa" w:w="90"/>
            </w:tcMar>
          </w:tcPr>
          <w:p>
            <w:pPr>
              <w:spacing w:after="0" w:line="264"/>
            </w:pPr>
            <w:r>
              <w:rPr>
                <w:b w:val="false"/>
                <w:bCs w:val="false"/>
                <w:sz w:val="20"/>
                <w:szCs w:val="20"/>
              </w:rPr>
              <w:t xml:space="preserve">Aus 262 Studien der Vollerhebung gehoben; internationaler Seismograph als ein Feed</w:t>
            </w:r>
          </w:p>
        </w:tc>
      </w:tr>
      <w:tr>
        <w:tc>
          <w:tcPr>
            <w:tcW w:type="dxa" w:w="3038"/>
            <w:tcMar>
              <w:top w:type="dxa" w:w="60"/>
              <w:left w:type="dxa" w:w="90"/>
              <w:bottom w:type="dxa" w:w="60"/>
              <w:right w:type="dxa" w:w="90"/>
            </w:tcMar>
          </w:tcPr>
          <w:p>
            <w:pPr>
              <w:spacing w:after="0" w:line="264"/>
            </w:pPr>
            <w:r>
              <w:rPr>
                <w:b/>
                <w:bCs/>
                <w:sz w:val="20"/>
                <w:szCs w:val="20"/>
              </w:rPr>
              <w:t xml:space="preserve">Welt-Kanon (seit 1989)</w:t>
            </w:r>
          </w:p>
        </w:tc>
        <w:tc>
          <w:tcPr>
            <w:tcW w:type="dxa" w:w="1100"/>
            <w:tcMar>
              <w:top w:type="dxa" w:w="60"/>
              <w:left w:type="dxa" w:w="90"/>
              <w:bottom w:type="dxa" w:w="60"/>
              <w:right w:type="dxa" w:w="90"/>
            </w:tcMar>
          </w:tcPr>
          <w:p>
            <w:pPr>
              <w:spacing w:after="0" w:line="264"/>
            </w:pPr>
            <w:r>
              <w:rPr>
                <w:b w:val="false"/>
                <w:bCs w:val="false"/>
                <w:sz w:val="20"/>
                <w:szCs w:val="20"/>
              </w:rPr>
              <w:t xml:space="preserve">30</w:t>
            </w:r>
          </w:p>
        </w:tc>
        <w:tc>
          <w:tcPr>
            <w:tcW w:type="dxa" w:w="5500"/>
            <w:tcMar>
              <w:top w:type="dxa" w:w="60"/>
              <w:left w:type="dxa" w:w="90"/>
              <w:bottom w:type="dxa" w:w="60"/>
              <w:right w:type="dxa" w:w="90"/>
            </w:tcMar>
          </w:tcPr>
          <w:p>
            <w:pPr>
              <w:spacing w:after="0" w:line="264"/>
            </w:pPr>
            <w:r>
              <w:rPr>
                <w:b w:val="false"/>
                <w:bCs w:val="false"/>
                <w:sz w:val="20"/>
                <w:szCs w:val="20"/>
              </w:rPr>
              <w:t xml:space="preserve">Der prägende Kanon des Feldes, an dem wir uns messen</w:t>
            </w:r>
          </w:p>
        </w:tc>
      </w:tr>
      <w:tr>
        <w:tc>
          <w:tcPr>
            <w:tcW w:type="dxa" w:w="3038"/>
            <w:shd w:fill="EAF1F8" w:val="clear"/>
            <w:tcMar>
              <w:top w:type="dxa" w:w="60"/>
              <w:left w:type="dxa" w:w="90"/>
              <w:bottom w:type="dxa" w:w="60"/>
              <w:right w:type="dxa" w:w="90"/>
            </w:tcMar>
          </w:tcPr>
          <w:p>
            <w:pPr>
              <w:spacing w:after="0" w:line="264"/>
            </w:pPr>
            <w:r>
              <w:rPr>
                <w:b/>
                <w:bCs/>
                <w:sz w:val="20"/>
                <w:szCs w:val="20"/>
              </w:rPr>
              <w:t xml:space="preserve">Signale zuvor (vor 1989)</w:t>
            </w:r>
          </w:p>
        </w:tc>
        <w:tc>
          <w:tcPr>
            <w:tcW w:type="dxa" w:w="1100"/>
            <w:shd w:fill="EAF1F8" w:val="clear"/>
            <w:tcMar>
              <w:top w:type="dxa" w:w="60"/>
              <w:left w:type="dxa" w:w="90"/>
              <w:bottom w:type="dxa" w:w="60"/>
              <w:right w:type="dxa" w:w="90"/>
            </w:tcMar>
          </w:tcPr>
          <w:p>
            <w:pPr>
              <w:spacing w:after="0" w:line="264"/>
            </w:pPr>
            <w:r>
              <w:rPr>
                <w:b w:val="false"/>
                <w:bCs w:val="false"/>
                <w:sz w:val="20"/>
                <w:szCs w:val="20"/>
              </w:rPr>
              <w:t xml:space="preserve">16</w:t>
            </w:r>
          </w:p>
        </w:tc>
        <w:tc>
          <w:tcPr>
            <w:tcW w:type="dxa" w:w="5500"/>
            <w:shd w:fill="EAF1F8" w:val="clear"/>
            <w:tcMar>
              <w:top w:type="dxa" w:w="60"/>
              <w:left w:type="dxa" w:w="90"/>
              <w:bottom w:type="dxa" w:w="60"/>
              <w:right w:type="dxa" w:w="90"/>
            </w:tcMar>
          </w:tcPr>
          <w:p>
            <w:pPr>
              <w:spacing w:after="0" w:line="264"/>
            </w:pPr>
            <w:r>
              <w:rPr>
                <w:b w:val="false"/>
                <w:bCs w:val="false"/>
                <w:sz w:val="20"/>
                <w:szCs w:val="20"/>
              </w:rPr>
              <w:t xml:space="preserve">Die Vorläufer, die den Bruch von 1989 angekündigt haben</w:t>
            </w:r>
          </w:p>
        </w:tc>
      </w:tr>
      <w:tr>
        <w:tc>
          <w:tcPr>
            <w:tcW w:type="dxa" w:w="3038"/>
            <w:tcMar>
              <w:top w:type="dxa" w:w="60"/>
              <w:left w:type="dxa" w:w="90"/>
              <w:bottom w:type="dxa" w:w="60"/>
              <w:right w:type="dxa" w:w="90"/>
            </w:tcMar>
          </w:tcPr>
          <w:p>
            <w:pPr>
              <w:spacing w:after="0" w:line="264"/>
            </w:pPr>
            <w:r>
              <w:rPr>
                <w:b/>
                <w:bCs/>
                <w:sz w:val="20"/>
                <w:szCs w:val="20"/>
              </w:rPr>
              <w:t xml:space="preserve">Welt-Ergänzungen</w:t>
            </w:r>
          </w:p>
        </w:tc>
        <w:tc>
          <w:tcPr>
            <w:tcW w:type="dxa" w:w="1100"/>
            <w:tcMar>
              <w:top w:type="dxa" w:w="60"/>
              <w:left w:type="dxa" w:w="90"/>
              <w:bottom w:type="dxa" w:w="60"/>
              <w:right w:type="dxa" w:w="90"/>
            </w:tcMar>
          </w:tcPr>
          <w:p>
            <w:pPr>
              <w:spacing w:after="0" w:line="264"/>
            </w:pPr>
            <w:r>
              <w:rPr>
                <w:b w:val="false"/>
                <w:bCs w:val="false"/>
                <w:sz w:val="20"/>
                <w:szCs w:val="20"/>
              </w:rPr>
              <w:t xml:space="preserve">7</w:t>
            </w:r>
          </w:p>
        </w:tc>
        <w:tc>
          <w:tcPr>
            <w:tcW w:type="dxa" w:w="5500"/>
            <w:tcMar>
              <w:top w:type="dxa" w:w="60"/>
              <w:left w:type="dxa" w:w="90"/>
              <w:bottom w:type="dxa" w:w="60"/>
              <w:right w:type="dxa" w:w="90"/>
            </w:tcMar>
          </w:tcPr>
          <w:p>
            <w:pPr>
              <w:spacing w:after="0" w:line="264"/>
            </w:pPr>
            <w:r>
              <w:rPr>
                <w:b w:val="false"/>
                <w:bCs w:val="false"/>
                <w:sz w:val="20"/>
                <w:szCs w:val="20"/>
              </w:rPr>
              <w:t xml:space="preserve">Internationale Referenzen jenseits des Kumli-Stroms</w:t>
            </w:r>
          </w:p>
        </w:tc>
      </w:tr>
      <w:tr>
        <w:tc>
          <w:tcPr>
            <w:tcW w:type="dxa" w:w="3038"/>
            <w:shd w:fill="EAF1F8" w:val="clear"/>
            <w:tcMar>
              <w:top w:type="dxa" w:w="60"/>
              <w:left w:type="dxa" w:w="90"/>
              <w:bottom w:type="dxa" w:w="60"/>
              <w:right w:type="dxa" w:w="90"/>
            </w:tcMar>
          </w:tcPr>
          <w:p>
            <w:pPr>
              <w:spacing w:after="0" w:line="264"/>
            </w:pPr>
            <w:r>
              <w:rPr>
                <w:b/>
                <w:bCs/>
                <w:sz w:val="20"/>
                <w:szCs w:val="20"/>
              </w:rPr>
              <w:t xml:space="preserve">D2030 / D2045 / Siegel</w:t>
            </w:r>
          </w:p>
        </w:tc>
        <w:tc>
          <w:tcPr>
            <w:tcW w:type="dxa" w:w="1100"/>
            <w:shd w:fill="EAF1F8" w:val="clear"/>
            <w:tcMar>
              <w:top w:type="dxa" w:w="60"/>
              <w:left w:type="dxa" w:w="90"/>
              <w:bottom w:type="dxa" w:w="60"/>
              <w:right w:type="dxa" w:w="90"/>
            </w:tcMar>
          </w:tcPr>
          <w:p>
            <w:pPr>
              <w:spacing w:after="0" w:line="264"/>
            </w:pPr>
            <w:r>
              <w:rPr>
                <w:b w:val="false"/>
                <w:bCs w:val="false"/>
                <w:sz w:val="20"/>
                <w:szCs w:val="20"/>
              </w:rPr>
              <w:t xml:space="preserve">3</w:t>
            </w:r>
          </w:p>
        </w:tc>
        <w:tc>
          <w:tcPr>
            <w:tcW w:type="dxa" w:w="5500"/>
            <w:shd w:fill="EAF1F8" w:val="clear"/>
            <w:tcMar>
              <w:top w:type="dxa" w:w="60"/>
              <w:left w:type="dxa" w:w="90"/>
              <w:bottom w:type="dxa" w:w="60"/>
              <w:right w:type="dxa" w:w="90"/>
            </w:tcMar>
          </w:tcPr>
          <w:p>
            <w:pPr>
              <w:spacing w:after="0" w:line="264"/>
            </w:pPr>
            <w:r>
              <w:rPr>
                <w:b w:val="false"/>
                <w:bCs w:val="false"/>
                <w:sz w:val="20"/>
                <w:szCs w:val="20"/>
              </w:rPr>
              <w:t xml:space="preserve">Die eigenen Studien, an denen GRUNDRISSE seine Abweichung misst</w:t>
            </w:r>
          </w:p>
        </w:tc>
      </w:tr>
    </w:tbl>
    <w:p>
      <w:pPr>
        <w:spacing w:after="160" w:line="288"/>
      </w:pPr>
      <w:r>
        <w:rPr>
          <w:sz w:val="22"/>
          <w:szCs w:val="22"/>
        </w:rPr>
        <w:t xml:space="preserve">Die Verifikation ist offengelegt und abgestuft: 131 Bibliothekstitel sind am PDF geprüft, die 46 Kanon-Titel bibliografisch nach Autor, Titel und Jahr. Damit ist die Basis belastbar und nachvollziehbar, und jede spätere Aussage über Schwerpunkte und Lücken lässt sich zur Quelle zurückverfolgen.</w:t>
      </w:r>
    </w:p>
    <w:p>
      <w:pPr>
        <w:pStyle w:val="Heading2"/>
        <w:spacing w:after="90" w:before="220"/>
      </w:pPr>
      <w:r>
        <w:rPr>
          <w:b/>
          <w:bCs/>
          <w:color w:val="1F3864"/>
          <w:sz w:val="24"/>
          <w:szCs w:val="24"/>
        </w:rPr>
        <w:t xml:space="preserve">2.5 Die explorative Analyse auf einem offengelegten Kriterienraster</w:t>
      </w:r>
    </w:p>
    <w:p>
      <w:pPr>
        <w:spacing w:after="140" w:line="288"/>
      </w:pPr>
      <w:r>
        <w:rPr>
          <w:sz w:val="22"/>
          <w:szCs w:val="22"/>
        </w:rPr>
        <w:t xml:space="preserve">Auf dieser Basis werten wir explorativ aus, nicht um Studien zu benoten, sondern um Schwerpunkte und Lücken des Feldes zu sehen. Das Raster legen wir offen, damit die Auswertung nachvollziehbar und wiederholbar bleibt. Es hat acht Kriterien, sechs beschreibende und zwei, die unseren eigenen Blick tragen:</w:t>
      </w:r>
    </w:p>
    <w:tbl>
      <w:tblPr>
        <w:tblW w:type="dxa" w:w="9638"/>
        <w:tblBorders>
          <w:top w:val="single" w:color="D9D9D9" w:sz="2"/>
          <w:left w:val="single" w:color="D9D9D9" w:sz="2"/>
          <w:bottom w:val="single" w:color="D9D9D9" w:sz="2"/>
          <w:right w:val="single" w:color="D9D9D9" w:sz="2"/>
          <w:insideH w:val="single" w:color="D9D9D9" w:sz="2"/>
          <w:insideV w:val="single" w:color="D9D9D9" w:sz="2"/>
        </w:tblBorders>
      </w:tblPr>
      <w:tblGrid>
        <w:gridCol w:w="3200"/>
        <w:gridCol w:w="6438"/>
      </w:tblGrid>
      <w:tr>
        <w:trPr>
          <w:tblHeader/>
        </w:trPr>
        <w:tc>
          <w:tcPr>
            <w:tcW w:type="dxa" w:w="3200"/>
            <w:shd w:fill="1F3864" w:val="clear"/>
            <w:tcMar>
              <w:top w:type="dxa" w:w="60"/>
              <w:left w:type="dxa" w:w="90"/>
              <w:bottom w:type="dxa" w:w="60"/>
              <w:right w:type="dxa" w:w="90"/>
            </w:tcMar>
          </w:tcPr>
          <w:p>
            <w:pPr>
              <w:spacing w:after="0" w:line="264"/>
            </w:pPr>
            <w:r>
              <w:rPr>
                <w:b/>
                <w:bCs/>
                <w:color w:val="FFFFFF"/>
                <w:sz w:val="20"/>
                <w:szCs w:val="20"/>
              </w:rPr>
              <w:t xml:space="preserve">Kriterium</w:t>
            </w:r>
          </w:p>
        </w:tc>
        <w:tc>
          <w:tcPr>
            <w:tcW w:type="dxa" w:w="6438"/>
            <w:shd w:fill="1F3864" w:val="clear"/>
            <w:tcMar>
              <w:top w:type="dxa" w:w="60"/>
              <w:left w:type="dxa" w:w="90"/>
              <w:bottom w:type="dxa" w:w="60"/>
              <w:right w:type="dxa" w:w="90"/>
            </w:tcMar>
          </w:tcPr>
          <w:p>
            <w:pPr>
              <w:spacing w:after="0" w:line="264"/>
            </w:pPr>
            <w:r>
              <w:rPr>
                <w:b/>
                <w:bCs/>
                <w:color w:val="FFFFFF"/>
                <w:sz w:val="20"/>
                <w:szCs w:val="20"/>
              </w:rPr>
              <w:t xml:space="preserve">Frage an jede Studie</w:t>
            </w:r>
          </w:p>
        </w:tc>
      </w:tr>
      <w:tr>
        <w:tc>
          <w:tcPr>
            <w:tcW w:type="dxa" w:w="3200"/>
            <w:tcMar>
              <w:top w:type="dxa" w:w="60"/>
              <w:left w:type="dxa" w:w="90"/>
              <w:bottom w:type="dxa" w:w="60"/>
              <w:right w:type="dxa" w:w="90"/>
            </w:tcMar>
          </w:tcPr>
          <w:p>
            <w:pPr>
              <w:spacing w:after="0" w:line="264"/>
            </w:pPr>
            <w:r>
              <w:rPr>
                <w:b/>
                <w:bCs/>
                <w:sz w:val="20"/>
                <w:szCs w:val="20"/>
              </w:rPr>
              <w:t xml:space="preserve">1 · Themen</w:t>
            </w:r>
          </w:p>
        </w:tc>
        <w:tc>
          <w:tcPr>
            <w:tcW w:type="dxa" w:w="6438"/>
            <w:tcMar>
              <w:top w:type="dxa" w:w="60"/>
              <w:left w:type="dxa" w:w="90"/>
              <w:bottom w:type="dxa" w:w="60"/>
              <w:right w:type="dxa" w:w="90"/>
            </w:tcMar>
          </w:tcPr>
          <w:p>
            <w:pPr>
              <w:spacing w:after="0" w:line="264"/>
            </w:pPr>
            <w:r>
              <w:rPr>
                <w:b w:val="false"/>
                <w:bCs w:val="false"/>
                <w:sz w:val="20"/>
                <w:szCs w:val="20"/>
              </w:rPr>
              <w:t xml:space="preserve">Welche Gegenstände und Stränge behandelt sie?</w:t>
            </w:r>
          </w:p>
        </w:tc>
      </w:tr>
      <w:tr>
        <w:tc>
          <w:tcPr>
            <w:tcW w:type="dxa" w:w="3200"/>
            <w:shd w:fill="EAF1F8" w:val="clear"/>
            <w:tcMar>
              <w:top w:type="dxa" w:w="60"/>
              <w:left w:type="dxa" w:w="90"/>
              <w:bottom w:type="dxa" w:w="60"/>
              <w:right w:type="dxa" w:w="90"/>
            </w:tcMar>
          </w:tcPr>
          <w:p>
            <w:pPr>
              <w:spacing w:after="0" w:line="264"/>
            </w:pPr>
            <w:r>
              <w:rPr>
                <w:b/>
                <w:bCs/>
                <w:sz w:val="20"/>
                <w:szCs w:val="20"/>
              </w:rPr>
              <w:t xml:space="preserve">2 · Zeit</w:t>
            </w:r>
          </w:p>
        </w:tc>
        <w:tc>
          <w:tcPr>
            <w:tcW w:type="dxa" w:w="6438"/>
            <w:shd w:fill="EAF1F8" w:val="clear"/>
            <w:tcMar>
              <w:top w:type="dxa" w:w="60"/>
              <w:left w:type="dxa" w:w="90"/>
              <w:bottom w:type="dxa" w:w="60"/>
              <w:right w:type="dxa" w:w="90"/>
            </w:tcMar>
          </w:tcPr>
          <w:p>
            <w:pPr>
              <w:spacing w:after="0" w:line="264"/>
            </w:pPr>
            <w:r>
              <w:rPr>
                <w:b w:val="false"/>
                <w:bCs w:val="false"/>
                <w:sz w:val="20"/>
                <w:szCs w:val="20"/>
              </w:rPr>
              <w:t xml:space="preserve">Wann entstanden, und welchen Zielhorizont nimmt sie in den Blick?</w:t>
            </w:r>
          </w:p>
        </w:tc>
      </w:tr>
      <w:tr>
        <w:tc>
          <w:tcPr>
            <w:tcW w:type="dxa" w:w="3200"/>
            <w:tcMar>
              <w:top w:type="dxa" w:w="60"/>
              <w:left w:type="dxa" w:w="90"/>
              <w:bottom w:type="dxa" w:w="60"/>
              <w:right w:type="dxa" w:w="90"/>
            </w:tcMar>
          </w:tcPr>
          <w:p>
            <w:pPr>
              <w:spacing w:after="0" w:line="264"/>
            </w:pPr>
            <w:r>
              <w:rPr>
                <w:b/>
                <w:bCs/>
                <w:sz w:val="20"/>
                <w:szCs w:val="20"/>
              </w:rPr>
              <w:t xml:space="preserve">3 · Wer</w:t>
            </w:r>
          </w:p>
        </w:tc>
        <w:tc>
          <w:tcPr>
            <w:tcW w:type="dxa" w:w="6438"/>
            <w:tcMar>
              <w:top w:type="dxa" w:w="60"/>
              <w:left w:type="dxa" w:w="90"/>
              <w:bottom w:type="dxa" w:w="60"/>
              <w:right w:type="dxa" w:w="90"/>
            </w:tcMar>
          </w:tcPr>
          <w:p>
            <w:pPr>
              <w:spacing w:after="0" w:line="264"/>
            </w:pPr>
            <w:r>
              <w:rPr>
                <w:b w:val="false"/>
                <w:bCs w:val="false"/>
                <w:sz w:val="20"/>
                <w:szCs w:val="20"/>
              </w:rPr>
              <w:t xml:space="preserve">Wer spricht: Wissenschaft, Staat, Multilaterale, Beratung, Zivilgesellschaft, das Feld selbst?</w:t>
            </w:r>
          </w:p>
        </w:tc>
      </w:tr>
      <w:tr>
        <w:tc>
          <w:tcPr>
            <w:tcW w:type="dxa" w:w="3200"/>
            <w:shd w:fill="EAF1F8" w:val="clear"/>
            <w:tcMar>
              <w:top w:type="dxa" w:w="60"/>
              <w:left w:type="dxa" w:w="90"/>
              <w:bottom w:type="dxa" w:w="60"/>
              <w:right w:type="dxa" w:w="90"/>
            </w:tcMar>
          </w:tcPr>
          <w:p>
            <w:pPr>
              <w:spacing w:after="0" w:line="264"/>
            </w:pPr>
            <w:r>
              <w:rPr>
                <w:b/>
                <w:bCs/>
                <w:sz w:val="20"/>
                <w:szCs w:val="20"/>
              </w:rPr>
              <w:t xml:space="preserve">4 · Art</w:t>
            </w:r>
          </w:p>
        </w:tc>
        <w:tc>
          <w:tcPr>
            <w:tcW w:type="dxa" w:w="6438"/>
            <w:shd w:fill="EAF1F8" w:val="clear"/>
            <w:tcMar>
              <w:top w:type="dxa" w:w="60"/>
              <w:left w:type="dxa" w:w="90"/>
              <w:bottom w:type="dxa" w:w="60"/>
              <w:right w:type="dxa" w:w="90"/>
            </w:tcMar>
          </w:tcPr>
          <w:p>
            <w:pPr>
              <w:spacing w:after="0" w:line="264"/>
            </w:pPr>
            <w:r>
              <w:rPr>
                <w:b w:val="false"/>
                <w:bCs w:val="false"/>
                <w:sz w:val="20"/>
                <w:szCs w:val="20"/>
              </w:rPr>
              <w:t xml:space="preserve">Welcher Quelltyp und welcher Methodentyp, von der Prognose bis zur Szenarienarbeit?</w:t>
            </w:r>
          </w:p>
        </w:tc>
      </w:tr>
      <w:tr>
        <w:tc>
          <w:tcPr>
            <w:tcW w:type="dxa" w:w="3200"/>
            <w:tcMar>
              <w:top w:type="dxa" w:w="60"/>
              <w:left w:type="dxa" w:w="90"/>
              <w:bottom w:type="dxa" w:w="60"/>
              <w:right w:type="dxa" w:w="90"/>
            </w:tcMar>
          </w:tcPr>
          <w:p>
            <w:pPr>
              <w:spacing w:after="0" w:line="264"/>
            </w:pPr>
            <w:r>
              <w:rPr>
                <w:b/>
                <w:bCs/>
                <w:sz w:val="20"/>
                <w:szCs w:val="20"/>
              </w:rPr>
              <w:t xml:space="preserve">5 · Ziele</w:t>
            </w:r>
          </w:p>
        </w:tc>
        <w:tc>
          <w:tcPr>
            <w:tcW w:type="dxa" w:w="6438"/>
            <w:tcMar>
              <w:top w:type="dxa" w:w="60"/>
              <w:left w:type="dxa" w:w="90"/>
              <w:bottom w:type="dxa" w:w="60"/>
              <w:right w:type="dxa" w:w="90"/>
            </w:tcMar>
          </w:tcPr>
          <w:p>
            <w:pPr>
              <w:spacing w:after="0" w:line="264"/>
            </w:pPr>
            <w:r>
              <w:rPr>
                <w:b w:val="false"/>
                <w:bCs w:val="false"/>
                <w:sz w:val="20"/>
                <w:szCs w:val="20"/>
              </w:rPr>
              <w:t xml:space="preserve">Was will die Studie bewirken: erklären, warnen, gestalten, legitimieren?</w:t>
            </w:r>
          </w:p>
        </w:tc>
      </w:tr>
      <w:tr>
        <w:tc>
          <w:tcPr>
            <w:tcW w:type="dxa" w:w="3200"/>
            <w:shd w:fill="EAF1F8" w:val="clear"/>
            <w:tcMar>
              <w:top w:type="dxa" w:w="60"/>
              <w:left w:type="dxa" w:w="90"/>
              <w:bottom w:type="dxa" w:w="60"/>
              <w:right w:type="dxa" w:w="90"/>
            </w:tcMar>
          </w:tcPr>
          <w:p>
            <w:pPr>
              <w:spacing w:after="0" w:line="264"/>
            </w:pPr>
            <w:r>
              <w:rPr>
                <w:b/>
                <w:bCs/>
                <w:sz w:val="20"/>
                <w:szCs w:val="20"/>
              </w:rPr>
              <w:t xml:space="preserve">6 · Kernaussagen</w:t>
            </w:r>
          </w:p>
        </w:tc>
        <w:tc>
          <w:tcPr>
            <w:tcW w:type="dxa" w:w="6438"/>
            <w:shd w:fill="EAF1F8" w:val="clear"/>
            <w:tcMar>
              <w:top w:type="dxa" w:w="60"/>
              <w:left w:type="dxa" w:w="90"/>
              <w:bottom w:type="dxa" w:w="60"/>
              <w:right w:type="dxa" w:w="90"/>
            </w:tcMar>
          </w:tcPr>
          <w:p>
            <w:pPr>
              <w:spacing w:after="0" w:line="264"/>
            </w:pPr>
            <w:r>
              <w:rPr>
                <w:b w:val="false"/>
                <w:bCs w:val="false"/>
                <w:sz w:val="20"/>
                <w:szCs w:val="20"/>
              </w:rPr>
              <w:t xml:space="preserve">Welche zentrale These trägt sie?</w:t>
            </w:r>
          </w:p>
        </w:tc>
      </w:tr>
      <w:tr>
        <w:tc>
          <w:tcPr>
            <w:tcW w:type="dxa" w:w="3200"/>
            <w:tcMar>
              <w:top w:type="dxa" w:w="60"/>
              <w:left w:type="dxa" w:w="90"/>
              <w:bottom w:type="dxa" w:w="60"/>
              <w:right w:type="dxa" w:w="90"/>
            </w:tcMar>
          </w:tcPr>
          <w:p>
            <w:pPr>
              <w:spacing w:after="0" w:line="264"/>
            </w:pPr>
            <w:r>
              <w:rPr>
                <w:b/>
                <w:bCs/>
                <w:sz w:val="20"/>
                <w:szCs w:val="20"/>
              </w:rPr>
              <w:t xml:space="preserve">7 · Zukunftshaltung (Linse)</w:t>
            </w:r>
          </w:p>
        </w:tc>
        <w:tc>
          <w:tcPr>
            <w:tcW w:type="dxa" w:w="6438"/>
            <w:tcMar>
              <w:top w:type="dxa" w:w="60"/>
              <w:left w:type="dxa" w:w="90"/>
              <w:bottom w:type="dxa" w:w="60"/>
              <w:right w:type="dxa" w:w="90"/>
            </w:tcMar>
          </w:tcPr>
          <w:p>
            <w:pPr>
              <w:spacing w:after="0" w:line="264"/>
            </w:pPr>
            <w:r>
              <w:rPr>
                <w:b w:val="false"/>
                <w:bCs w:val="false"/>
                <w:sz w:val="20"/>
                <w:szCs w:val="20"/>
              </w:rPr>
              <w:t xml:space="preserve">Schreibt sie fort oder denkt sie den Bruch? Unsere Achse Fortschreibung gegen Bruch.</w:t>
            </w:r>
          </w:p>
        </w:tc>
      </w:tr>
      <w:tr>
        <w:tc>
          <w:tcPr>
            <w:tcW w:type="dxa" w:w="3200"/>
            <w:shd w:fill="EAF1F8" w:val="clear"/>
            <w:tcMar>
              <w:top w:type="dxa" w:w="60"/>
              <w:left w:type="dxa" w:w="90"/>
              <w:bottom w:type="dxa" w:w="60"/>
              <w:right w:type="dxa" w:w="90"/>
            </w:tcMar>
          </w:tcPr>
          <w:p>
            <w:pPr>
              <w:spacing w:after="0" w:line="264"/>
            </w:pPr>
            <w:r>
              <w:rPr>
                <w:b/>
                <w:bCs/>
                <w:sz w:val="20"/>
                <w:szCs w:val="20"/>
              </w:rPr>
              <w:t xml:space="preserve">8 · Interessenlage und Güte (Linse)</w:t>
            </w:r>
          </w:p>
        </w:tc>
        <w:tc>
          <w:tcPr>
            <w:tcW w:type="dxa" w:w="6438"/>
            <w:shd w:fill="EAF1F8" w:val="clear"/>
            <w:tcMar>
              <w:top w:type="dxa" w:w="60"/>
              <w:left w:type="dxa" w:w="90"/>
              <w:bottom w:type="dxa" w:w="60"/>
              <w:right w:type="dxa" w:w="90"/>
            </w:tcMar>
          </w:tcPr>
          <w:p>
            <w:pPr>
              <w:spacing w:after="0" w:line="264"/>
            </w:pPr>
            <w:r>
              <w:rPr>
                <w:b w:val="false"/>
                <w:bCs w:val="false"/>
                <w:sz w:val="20"/>
                <w:szCs w:val="20"/>
              </w:rPr>
              <w:t xml:space="preserve">Aus welchem Interesse spricht sie, und wie belastbar ist sie?</w:t>
            </w:r>
          </w:p>
        </w:tc>
      </w:tr>
    </w:tbl>
    <w:p>
      <w:pPr>
        <w:spacing w:after="160" w:line="288"/>
      </w:pPr>
      <w:r>
        <w:rPr>
          <w:sz w:val="22"/>
          <w:szCs w:val="22"/>
        </w:rPr>
        <w:t xml:space="preserve">Wir rechnen in zwei Durchgängen. Der erste ist neutral und beschreibend: Er ordnet den ganzen Bestand nach den sechs beschreibenden Kriterien und macht Ballungen und Leerstellen sichtbar. Der zweite legt die beiden Linsen an und ist unsere Grundrisse-Prüfung: Er fragt, wo das Feld fortschreibt und wo es den Bruch denkt, aus welchen Interessen es spricht, und was daraus für unseren eigenen Ansatz folgt. Erst dieser zweite Durchgang beantwortet die Frage, was uns unterscheidet, und ob wir unsere Setzungen bestätigt sehen oder ändern müssen.</w:t>
      </w:r>
    </w:p>
    <w:p>
      <w:pPr>
        <w:pStyle w:val="Heading2"/>
        <w:spacing w:after="90" w:before="220"/>
      </w:pPr>
      <w:r>
        <w:rPr>
          <w:b/>
          <w:bCs/>
          <w:color w:val="1F3864"/>
          <w:sz w:val="24"/>
          <w:szCs w:val="24"/>
        </w:rPr>
        <w:t xml:space="preserve">2.6 Was wir bewusst offen halten</w:t>
      </w:r>
    </w:p>
    <w:p>
      <w:pPr>
        <w:spacing w:after="140" w:line="288"/>
      </w:pPr>
      <w:r>
        <w:rPr>
          <w:sz w:val="22"/>
          <w:szCs w:val="22"/>
        </w:rPr>
        <w:t xml:space="preserve">Zum Zugang gehört, offen zu benennen, was noch nicht entschieden ist. Drei Punkte reisen als Prüfauftrag mit, nicht als Lücke, sondern als Redlichkeit.</w:t>
      </w:r>
    </w:p>
    <w:p>
      <w:pPr>
        <w:spacing w:after="140" w:line="288"/>
      </w:pPr>
      <w:r>
        <w:rPr>
          <w:sz w:val="22"/>
          <w:szCs w:val="22"/>
        </w:rPr>
        <w:t xml:space="preserve">Erstens die Achsen. Das aus Kumlis Korpus destillierte Szenariokreuz aus Steuerungslogik und Innovationsträger bleibt eine Quellen-Landkarte, es ist aber nicht mehr der analytische Rahmen. Ausgewertet wird auf dem offengelegten Kriterienraster, nicht auf einem geliehenen Kreuz. Ob am Ende ein Szenariokreuz steht oder ein Morphologiekasten aus zwei Kreuzen, behandelt das Feld-④-Papier.</w:t>
      </w:r>
    </w:p>
    <w:p>
      <w:pPr>
        <w:spacing w:after="140" w:line="288"/>
      </w:pPr>
      <w:r>
        <w:rPr>
          <w:sz w:val="22"/>
          <w:szCs w:val="22"/>
        </w:rPr>
        <w:t xml:space="preserve">Zweitens die vier Rahmenszenarien. Sie sind eine gut begründete Arbeitshypothese, die die Analyse stützen oder verschieben kann. Drittens die Aushandlung durch Radikale Kompromisse. Wir halten sie für eine unserer Stärken, aber ob sie eine echte Lücke des Feldes ist oder ob andere sie längst besetzen, entscheidet erst die Auswertung. Bis dahin steht sie als Hypothese, nicht als Nachweis.</w:t>
      </w:r>
    </w:p>
    <w:p>
      <w:r>
        <w:br w:type="page"/>
      </w:r>
    </w:p>
    <w:p>
      <w:pPr>
        <w:pStyle w:val="Heading1"/>
        <w:spacing w:after="140" w:before="300"/>
      </w:pPr>
      <w:r>
        <w:rPr>
          <w:b/>
          <w:bCs/>
          <w:color w:val="1F3864"/>
          <w:sz w:val="28"/>
          <w:szCs w:val="28"/>
        </w:rPr>
        <w:t xml:space="preserve">Teil 3 · Erwartete Ergebnisse</w:t>
      </w:r>
    </w:p>
    <w:p>
      <w:pPr>
        <w:pStyle w:val="Heading2"/>
        <w:spacing w:after="90" w:before="220"/>
      </w:pPr>
      <w:r>
        <w:rPr>
          <w:b/>
          <w:bCs/>
          <w:color w:val="1F3864"/>
          <w:sz w:val="24"/>
          <w:szCs w:val="24"/>
        </w:rPr>
        <w:t xml:space="preserve">3.1 Eine Schwerpunkt- und Lückenkarte des Feldes</w:t>
      </w:r>
    </w:p>
    <w:p>
      <w:pPr>
        <w:spacing w:after="140" w:line="288"/>
      </w:pPr>
      <w:r>
        <w:rPr>
          <w:sz w:val="22"/>
          <w:szCs w:val="22"/>
        </w:rPr>
        <w:t xml:space="preserve">Das erste Ergebnis ist eine Karte: Wo ballt sich die Aufmerksamkeit des Feldes, und wo bleibt es leer? Der Vergleich von Kumli-Strom und Bibliothek hat schon eine geteilte Leerstelle gezeigt, das Feld der fragmentierten Resilienz, die Robustheit ohne geteilte Richtung. Mit dem erweiterten Korpus wird die Karte belastbar: Sie trennt die Themen, die alle bearbeiten, von denen, die niemand anfasst, und sie zeigt, ob eine Leerstelle im Feld liegt oder nur in unserer Auswahl lag.</w:t>
      </w:r>
    </w:p>
    <w:p>
      <w:pPr>
        <w:pStyle w:val="Heading2"/>
        <w:spacing w:after="90" w:before="220"/>
      </w:pPr>
      <w:r>
        <w:rPr>
          <w:b/>
          <w:bCs/>
          <w:color w:val="1F3864"/>
          <w:sz w:val="24"/>
          <w:szCs w:val="24"/>
        </w:rPr>
        <w:t xml:space="preserve">3.2 Der Unterscheidungsnachweis, belegt statt behauptet</w:t>
      </w:r>
    </w:p>
    <w:p>
      <w:pPr>
        <w:spacing w:after="140" w:line="288"/>
      </w:pPr>
      <w:r>
        <w:rPr>
          <w:sz w:val="22"/>
          <w:szCs w:val="22"/>
        </w:rPr>
        <w:t xml:space="preserve">Das zweite Ergebnis ist die Antwort auf die Frage, die uns am meisten interessiert: Was macht uns besonders? Wir behaupten es nicht, wir prüfen es. Vier Kandidaten für unsere Besonderheit legen wir als Hypothesen vor, die die Analyse bestätigen, schärfen oder verwerfen muss.</w:t>
      </w:r>
    </w:p>
    <w:p>
      <w:pPr>
        <w:pStyle w:val="ListParagraph"/>
        <w:numPr>
          <w:ilvl w:val="0"/>
          <w:numId w:val="1"/>
        </w:numPr>
        <w:spacing w:after="90" w:line="288"/>
      </w:pPr>
      <w:r>
        <w:rPr>
          <w:sz w:val="22"/>
          <w:szCs w:val="22"/>
        </w:rPr>
        <w:t xml:space="preserve">Die inverse Bewegung: erst Geschichten, dann Faktoren. Wer im Feld beginnt ebenso bei den Bildern, wer bei den Faktoren?</w:t>
      </w:r>
    </w:p>
    <w:p>
      <w:pPr>
        <w:pStyle w:val="ListParagraph"/>
        <w:numPr>
          <w:ilvl w:val="0"/>
          <w:numId w:val="1"/>
        </w:numPr>
        <w:spacing w:after="90" w:line="288"/>
      </w:pPr>
      <w:r>
        <w:rPr>
          <w:sz w:val="22"/>
          <w:szCs w:val="22"/>
        </w:rPr>
        <w:t xml:space="preserve">Die Kopplung als Leitfrage: Mensch, Technik und Natur zusammen, nicht als drei getrennte Stränge. Wer denkt sie zusammen?</w:t>
      </w:r>
    </w:p>
    <w:p>
      <w:pPr>
        <w:pStyle w:val="ListParagraph"/>
        <w:numPr>
          <w:ilvl w:val="0"/>
          <w:numId w:val="1"/>
        </w:numPr>
        <w:spacing w:after="90" w:line="288"/>
      </w:pPr>
      <w:r>
        <w:rPr>
          <w:sz w:val="22"/>
          <w:szCs w:val="22"/>
        </w:rPr>
        <w:t xml:space="preserve">Die Aushandlung: Foresight, die in Radikalen Kompromissen endet, nicht im Bild. Wer führt die Zukunftsarbeit bis in die politische Aushandlung?</w:t>
      </w:r>
    </w:p>
    <w:p>
      <w:pPr>
        <w:pStyle w:val="ListParagraph"/>
        <w:numPr>
          <w:ilvl w:val="0"/>
          <w:numId w:val="1"/>
        </w:numPr>
        <w:spacing w:after="90" w:line="288"/>
      </w:pPr>
      <w:r>
        <w:rPr>
          <w:sz w:val="22"/>
          <w:szCs w:val="22"/>
        </w:rPr>
        <w:t xml:space="preserve">Die offen dokumentierte Mensch-KI-Werkstatt: Wer legt seine Werkzeugpraxis offen, statt sie zu verschweigen?</w:t>
      </w:r>
    </w:p>
    <w:p>
      <w:pPr>
        <w:spacing w:after="160" w:line="288"/>
      </w:pPr>
      <w:r>
        <w:rPr>
          <w:sz w:val="22"/>
          <w:szCs w:val="22"/>
        </w:rPr>
        <w:t xml:space="preserve">Wo die Analyse zeigt, dass wir allein stehen, haben wir einen belegten Unterscheidungsnachweis. Wo sie zeigt, dass andere schon dort sind, gewinnen wir Anschluss und Verbündete. Beides ist ein Ertrag.</w:t>
      </w:r>
    </w:p>
    <w:p>
      <w:pPr>
        <w:pStyle w:val="Heading2"/>
        <w:spacing w:after="90" w:before="220"/>
      </w:pPr>
      <w:r>
        <w:rPr>
          <w:b/>
          <w:bCs/>
          <w:color w:val="1F3864"/>
          <w:sz w:val="24"/>
          <w:szCs w:val="24"/>
        </w:rPr>
        <w:t xml:space="preserve">3.3 Das leere Feld könnte an uns liegen</w:t>
      </w:r>
    </w:p>
    <w:p>
      <w:pPr>
        <w:spacing w:after="140" w:line="288"/>
      </w:pPr>
      <w:r>
        <w:rPr>
          <w:sz w:val="22"/>
          <w:szCs w:val="22"/>
        </w:rPr>
        <w:t xml:space="preserve">Ein Ergebnis müssen wir uns selbst zumuten. Wenn ein Feld leer bleibt, ist die erste Frage nicht, warum die Welt es übersieht, sondern ob wir Foresighter es übersehen. Die fragmentierte Resilienz ist unbequem, weil sie kein Schreckbild und kein Wunschbild ist, sondern das mittlere, richtungslose Durchhalten. Genau solche Bilder fallen der Zunft schwer, weil sie sich schlecht erzählen und schlecht verkaufen. Die Lückenkarte ist deshalb auch ein Spiegel: Sie zeigt nicht nur die blinden Flecken des Feldes, sondern unsere eigenen.</w:t>
      </w:r>
    </w:p>
    <w:p>
      <w:pPr>
        <w:pStyle w:val="Heading2"/>
        <w:spacing w:after="90" w:before="220"/>
      </w:pPr>
      <w:r>
        <w:rPr>
          <w:b/>
          <w:bCs/>
          <w:color w:val="1F3864"/>
          <w:sz w:val="24"/>
          <w:szCs w:val="24"/>
        </w:rPr>
        <w:t xml:space="preserve">3.4 Prüfergebnis der eigenen Setzungen</w:t>
      </w:r>
    </w:p>
    <w:p>
      <w:pPr>
        <w:spacing w:after="140" w:line="288"/>
      </w:pPr>
      <w:r>
        <w:rPr>
          <w:sz w:val="22"/>
          <w:szCs w:val="22"/>
        </w:rPr>
        <w:t xml:space="preserve">Das vierte Ergebnis ist die ehrliche Rückmeldung an uns selbst, in drei Ausgängen. Bestätigt: Die Diagnose vom abgelaufenen Grundvertrag und die Leitfrage tragen, das Feld bestätigt sie aus der Ferne. Geschärft: Einzelne Setzungen, etwa die Achsen oder die vier Rahmen, gewinnen durch die Auswertung an Kontur. Verschoben: Wo die Evidenz gegen eine Setzung steht, ändern wir sie, nicht das Ergebnis. Der Zugang ist erst dann redlich, wenn dieser dritte Ausgang möglich bleibt.</w:t>
      </w:r>
    </w:p>
    <w:p>
      <w:pPr>
        <w:pStyle w:val="Heading2"/>
        <w:spacing w:after="90" w:before="220"/>
      </w:pPr>
      <w:r>
        <w:rPr>
          <w:b/>
          <w:bCs/>
          <w:color w:val="1F3864"/>
          <w:sz w:val="24"/>
          <w:szCs w:val="24"/>
        </w:rPr>
        <w:t xml:space="preserve">3.5 Der Ertrag fürs Kern-Team</w:t>
      </w:r>
    </w:p>
    <w:p>
      <w:pPr>
        <w:spacing w:after="140" w:line="288"/>
      </w:pPr>
      <w:r>
        <w:rPr>
          <w:sz w:val="22"/>
          <w:szCs w:val="22"/>
        </w:rPr>
        <w:t xml:space="preserve">Unter dem Strich liefert der Zugang einen belastbaren, transparenten Quellengrund, der die Setzungen von GRUNDRISSE trägt, die Anschlussfähigkeit an das Feld sichert und die Besonderheit belegt oder korrigiert. Wir gehen nicht als Rechthaber in den Prozess, sondern als jene, die ihre Frage offen an die Zukunft und an die anderen halten. Das ist die Grundlage, auf der die Spotlights, die Faktoren und die Vollszenarien wachsen können.</w:t>
      </w:r>
    </w:p>
    <w:p>
      <w:pPr>
        <w:pStyle w:val="Heading1"/>
        <w:spacing w:after="140" w:before="300"/>
      </w:pPr>
      <w:r>
        <w:rPr>
          <w:b/>
          <w:bCs/>
          <w:color w:val="1F3864"/>
          <w:sz w:val="28"/>
          <w:szCs w:val="28"/>
        </w:rPr>
        <w:t xml:space="preserve">Teil 4 · Zur Diskussion</w:t>
      </w:r>
    </w:p>
    <w:p>
      <w:pPr>
        <w:spacing w:after="140" w:line="288"/>
      </w:pPr>
      <w:r>
        <w:rPr>
          <w:sz w:val="22"/>
          <w:szCs w:val="22"/>
        </w:rPr>
        <w:t xml:space="preserve">Vier Punkte legen wir dem Kern-Team zur Entscheidung vor, damit der Zugang vom Rückhalt der Runde getragen ist:</w:t>
      </w:r>
    </w:p>
    <w:p>
      <w:pPr>
        <w:pStyle w:val="ListParagraph"/>
        <w:numPr>
          <w:ilvl w:val="0"/>
          <w:numId w:val="1"/>
        </w:numPr>
        <w:spacing w:after="90" w:line="288"/>
      </w:pPr>
      <w:r>
        <w:rPr>
          <w:sz w:val="22"/>
          <w:szCs w:val="22"/>
        </w:rPr>
        <w:t xml:space="preserve">Ein Szenariokreuz oder zwei. Bleibt es beim eigenen Werteraster als Deutungsachse, oder legen wir die geopolitisch-klimatische Achse als Strukturtest darüber? Details im Feld-④-Papier.</w:t>
      </w:r>
    </w:p>
    <w:p>
      <w:pPr>
        <w:pStyle w:val="ListParagraph"/>
        <w:numPr>
          <w:ilvl w:val="0"/>
          <w:numId w:val="1"/>
        </w:numPr>
        <w:spacing w:after="90" w:line="288"/>
      </w:pPr>
      <w:r>
        <w:rPr>
          <w:sz w:val="22"/>
          <w:szCs w:val="22"/>
        </w:rPr>
        <w:t xml:space="preserve">Die vier Rahmenszenarien R1 bis R4 als Arbeitshypothese bestätigen, mit der Lesart von R4 als offenem Punkt.</w:t>
      </w:r>
    </w:p>
    <w:p>
      <w:pPr>
        <w:pStyle w:val="ListParagraph"/>
        <w:numPr>
          <w:ilvl w:val="0"/>
          <w:numId w:val="1"/>
        </w:numPr>
        <w:spacing w:after="90" w:line="288"/>
      </w:pPr>
      <w:r>
        <w:rPr>
          <w:sz w:val="22"/>
          <w:szCs w:val="22"/>
        </w:rPr>
        <w:t xml:space="preserve">Der Umfang der Analyse: Rechnen wir den vollen Korpus von 200 Quellen in beiden Durchgängen, oder priorisieren wir einen Kern?</w:t>
      </w:r>
    </w:p>
    <w:p>
      <w:pPr>
        <w:pStyle w:val="ListParagraph"/>
        <w:numPr>
          <w:ilvl w:val="0"/>
          <w:numId w:val="1"/>
        </w:numPr>
        <w:spacing w:after="90" w:line="288"/>
      </w:pPr>
      <w:r>
        <w:rPr>
          <w:sz w:val="22"/>
          <w:szCs w:val="22"/>
        </w:rPr>
        <w:t xml:space="preserve">Die Marke Foresight Community im Register: derzeit auf 20 Titeln, dem ganzen Feld samt seiner Ahnen. Enger ziehen oder so belassen?</w:t>
      </w:r>
    </w:p>
    <w:p>
      <w:pPr>
        <w:pStyle w:val="Heading2"/>
        <w:spacing w:after="90" w:before="220"/>
      </w:pPr>
      <w:r>
        <w:rPr>
          <w:b/>
          <w:bCs/>
          <w:color w:val="1F3864"/>
          <w:sz w:val="24"/>
          <w:szCs w:val="24"/>
        </w:rPr>
        <w:t xml:space="preserve">Lieferschein</w:t>
      </w:r>
    </w:p>
    <w:p>
      <w:pPr>
        <w:spacing w:after="140" w:line="288"/>
      </w:pPr>
      <w:r>
        <w:rPr>
          <w:sz w:val="20"/>
          <w:szCs w:val="20"/>
        </w:rPr>
        <w:t xml:space="preserve">Geprüft: die fünf Strukturbrüche, die vier Rahmenszenarien und die Bewertungs-Trias sind aus der Argumentation v3 und dem Methodik-Handbuch v4 belegt; die Quellenbasis von 200 Titeln ist verifiziert (131 am PDF, 46 bibliografisch).</w:t>
      </w:r>
    </w:p>
    <w:p>
      <w:pPr>
        <w:spacing w:after="140" w:line="288"/>
      </w:pPr>
      <w:r>
        <w:rPr>
          <w:sz w:val="20"/>
          <w:szCs w:val="20"/>
        </w:rPr>
        <w:t xml:space="preserve">Unsicher: der Unterscheidungsnachweis ist bis zur gerechneten Analyse eine Hypothese; die vier Besonderheiten sind Prüfkandidaten, kein Befund.</w:t>
      </w:r>
    </w:p>
    <w:p>
      <w:pPr>
        <w:spacing w:after="140" w:line="288"/>
      </w:pPr>
      <w:r>
        <w:rPr>
          <w:sz w:val="20"/>
          <w:szCs w:val="20"/>
        </w:rPr>
        <w:t xml:space="preserve">Zu entscheiden: die vier Diskussionspunkte oben, insbesondere ein Kreuz oder zwei und der Umfang der Analyse.</w:t>
      </w:r>
    </w:p>
    <w:p>
      <w:pPr>
        <w:spacing w:after="140" w:line="288"/>
      </w:pPr>
      <w:r>
        <w:rPr>
          <w:color w:val="595959"/>
          <w:sz w:val="18"/>
          <w:szCs w:val="18"/>
        </w:rPr>
        <w:t xml:space="preserve">Grundlage: Argumentation für das Kern-Team v3 (18.07.2026); Methodik-Handbuch Abweichung und Anschluss v4; Grundrisse-Foresight-Register v12 (200 Quellen); Feld-④-Papier v1.</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GRUNDRISSE · Unser Zugang · Diskussionsgrundlage fürs Kern-Team · Seite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2026-08-12T12:36:08.608Z</dcterms:created>
  <dcterms:modified xsi:type="dcterms:W3CDTF">2026-08-12T12:36:08.632Z</dcterms:modified>
</cp:coreProperties>
</file>

<file path=docProps/custom.xml><?xml version="1.0" encoding="utf-8"?>
<Properties xmlns="http://schemas.openxmlformats.org/officeDocument/2006/custom-properties" xmlns:vt="http://schemas.openxmlformats.org/officeDocument/2006/docPropsVTypes"/>
</file>