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8277" w14:textId="407D7EB2" w:rsidR="00CD33B5" w:rsidRDefault="00CD33B5" w:rsidP="00CD33B5">
      <w:pPr>
        <w:pStyle w:val="Title"/>
      </w:pPr>
      <w:r>
        <w:t>Simple Tools for Ensuring Research Data Is Clean, Relevant, and Analysis-Ready</w:t>
      </w:r>
    </w:p>
    <w:p w14:paraId="2F6FBD03" w14:textId="77777777" w:rsidR="00CD33B5" w:rsidRDefault="00CD33B5" w:rsidP="00CD33B5"/>
    <w:p w14:paraId="6CB2F541" w14:textId="77777777" w:rsidR="00CD33B5" w:rsidRDefault="00CD33B5" w:rsidP="00CD33B5">
      <w:r>
        <w:t>Strong analysis does not begin with statistical software. It begins with how data is planned, collected, organized, and validated.</w:t>
      </w:r>
    </w:p>
    <w:p w14:paraId="28779E4C" w14:textId="77777777" w:rsidR="00CD33B5" w:rsidRDefault="00CD33B5" w:rsidP="00CD33B5"/>
    <w:p w14:paraId="1000A1CE" w14:textId="77777777" w:rsidR="00CD33B5" w:rsidRDefault="00CD33B5" w:rsidP="00CD33B5">
      <w:r>
        <w:t>Across industries—healthcare, education, business, and public sector—most analytical challenges trace back to weak data foundations. In my work supporting applied research projects in clinical and academic settings, I have seen that small, early decisions often determine whether a project succeeds or struggles.</w:t>
      </w:r>
    </w:p>
    <w:p w14:paraId="034C074C" w14:textId="77777777" w:rsidR="00CD33B5" w:rsidRDefault="00CD33B5" w:rsidP="00CD33B5"/>
    <w:p w14:paraId="16C0AF93" w14:textId="77777777" w:rsidR="00CD33B5" w:rsidRDefault="00CD33B5" w:rsidP="00CD33B5">
      <w:r>
        <w:t>Fortunately, building analysis-ready data does not require advanced technical tools. It requires disciplined planning and a few reliable practices.</w:t>
      </w:r>
    </w:p>
    <w:p w14:paraId="791C6062" w14:textId="77777777" w:rsidR="00CD33B5" w:rsidRDefault="00CD33B5" w:rsidP="00CD33B5"/>
    <w:p w14:paraId="3BCE72D3" w14:textId="32565115" w:rsidR="00CD33B5" w:rsidRDefault="00CD33B5" w:rsidP="00CD33B5">
      <w:r>
        <w:t>Here are practical methods that translate across research and analytics environments.</w:t>
      </w:r>
    </w:p>
    <w:p w14:paraId="021964C9" w14:textId="4340B8F7" w:rsidR="00CD33B5" w:rsidRDefault="00CD33B5" w:rsidP="00CD33B5">
      <w:pPr>
        <w:pStyle w:val="Heading1"/>
      </w:pPr>
      <w:r>
        <w:t>Begin With a Clear Data Plan</w:t>
      </w:r>
    </w:p>
    <w:p w14:paraId="546CF585" w14:textId="3BA5B1A6" w:rsidR="00CD33B5" w:rsidRDefault="00CD33B5" w:rsidP="00CD33B5">
      <w:r>
        <w:t>Before collecting any data, define:</w:t>
      </w:r>
    </w:p>
    <w:p w14:paraId="58F376E2" w14:textId="68D54303" w:rsidR="00CD33B5" w:rsidRDefault="00CD33B5" w:rsidP="00CD33B5">
      <w:pPr>
        <w:pStyle w:val="ListParagraph"/>
        <w:numPr>
          <w:ilvl w:val="0"/>
          <w:numId w:val="11"/>
        </w:numPr>
      </w:pPr>
      <w:r>
        <w:t>What variables are essential</w:t>
      </w:r>
    </w:p>
    <w:p w14:paraId="0BD2369F" w14:textId="5878C592" w:rsidR="00CD33B5" w:rsidRDefault="00CD33B5" w:rsidP="00CD33B5">
      <w:pPr>
        <w:pStyle w:val="ListParagraph"/>
        <w:numPr>
          <w:ilvl w:val="0"/>
          <w:numId w:val="11"/>
        </w:numPr>
      </w:pPr>
      <w:r>
        <w:t>How each will be measured</w:t>
      </w:r>
    </w:p>
    <w:p w14:paraId="25B17975" w14:textId="2C405911" w:rsidR="00CD33B5" w:rsidRDefault="00CD33B5" w:rsidP="00CD33B5">
      <w:pPr>
        <w:pStyle w:val="ListParagraph"/>
        <w:numPr>
          <w:ilvl w:val="0"/>
          <w:numId w:val="11"/>
        </w:numPr>
      </w:pPr>
      <w:r>
        <w:t>How participants or records will be tracked</w:t>
      </w:r>
    </w:p>
    <w:p w14:paraId="248D4284" w14:textId="77777777" w:rsidR="00CD33B5" w:rsidRDefault="00CD33B5" w:rsidP="00CD33B5">
      <w:pPr>
        <w:pStyle w:val="ListParagraph"/>
        <w:numPr>
          <w:ilvl w:val="0"/>
          <w:numId w:val="11"/>
        </w:numPr>
      </w:pPr>
      <w:r>
        <w:t>How datasets will be merged over time</w:t>
      </w:r>
    </w:p>
    <w:p w14:paraId="5A3D8098" w14:textId="77777777" w:rsidR="00CD33B5" w:rsidRDefault="00CD33B5" w:rsidP="00CD33B5"/>
    <w:p w14:paraId="047B1B5E" w14:textId="77777777" w:rsidR="00CD33B5" w:rsidRDefault="00CD33B5" w:rsidP="00CD33B5">
      <w:r>
        <w:t>In healthcare education projects, this often means clarifying how pre- and post-intervention data will be matched. In business or operations settings, it may involve defining customer or transaction identifiers.</w:t>
      </w:r>
    </w:p>
    <w:p w14:paraId="01D597F4" w14:textId="77777777" w:rsidR="00CD33B5" w:rsidRDefault="00CD33B5" w:rsidP="00CD33B5"/>
    <w:p w14:paraId="171DC97D" w14:textId="7E659C12" w:rsidR="00CD33B5" w:rsidRDefault="00CD33B5" w:rsidP="00CD33B5">
      <w:r>
        <w:t>A short data plan reduces ambiguity and prevents structural problems later.</w:t>
      </w:r>
    </w:p>
    <w:p w14:paraId="3BE64F6E" w14:textId="5B70CCE2" w:rsidR="00CD33B5" w:rsidRDefault="00CD33B5" w:rsidP="00CD33B5">
      <w:pPr>
        <w:pStyle w:val="Heading1"/>
      </w:pPr>
      <w:r>
        <w:t>Choose Data Collection Technology Strategically</w:t>
      </w:r>
    </w:p>
    <w:p w14:paraId="0D81F985" w14:textId="77777777" w:rsidR="00CD33B5" w:rsidRDefault="00CD33B5" w:rsidP="00CD33B5">
      <w:r>
        <w:t>Data quality is heavily influenced by platform choice.</w:t>
      </w:r>
    </w:p>
    <w:p w14:paraId="4E4E0C87" w14:textId="77777777" w:rsidR="00CD33B5" w:rsidRDefault="00CD33B5" w:rsidP="00CD33B5"/>
    <w:p w14:paraId="23436D23" w14:textId="77777777" w:rsidR="00CD33B5" w:rsidRDefault="00CD33B5" w:rsidP="00CD33B5">
      <w:r>
        <w:t>In Microsoft-centered organizations, tools such as Microsoft Forms integrate directly with Excel, Power BI, and automation platforms, enabling efficient downstream workflows. In more complex research environments, platforms like Qualtrics may provide advanced functionality but require greater technical preparation.</w:t>
      </w:r>
    </w:p>
    <w:p w14:paraId="6CBEA63D" w14:textId="77777777" w:rsidR="00CD33B5" w:rsidRDefault="00CD33B5" w:rsidP="00CD33B5"/>
    <w:p w14:paraId="340D55F4" w14:textId="12E065D6" w:rsidR="00CD33B5" w:rsidRDefault="00CD33B5" w:rsidP="00CD33B5">
      <w:r>
        <w:t>Best practice across sectors is consistent:</w:t>
      </w:r>
    </w:p>
    <w:p w14:paraId="6F9AC6CC" w14:textId="45AF7E16" w:rsidR="00CD33B5" w:rsidRDefault="00CD33B5" w:rsidP="00CD33B5">
      <w:pPr>
        <w:pStyle w:val="ListParagraph"/>
        <w:numPr>
          <w:ilvl w:val="0"/>
          <w:numId w:val="12"/>
        </w:numPr>
      </w:pPr>
      <w:r>
        <w:t>Build test surveys</w:t>
      </w:r>
    </w:p>
    <w:p w14:paraId="0EE21F1C" w14:textId="7884E66F" w:rsidR="00CD33B5" w:rsidRDefault="00CD33B5" w:rsidP="00CD33B5">
      <w:pPr>
        <w:pStyle w:val="ListParagraph"/>
        <w:numPr>
          <w:ilvl w:val="0"/>
          <w:numId w:val="12"/>
        </w:numPr>
      </w:pPr>
      <w:r>
        <w:t>Export sample data</w:t>
      </w:r>
    </w:p>
    <w:p w14:paraId="32022D82" w14:textId="1D89255D" w:rsidR="00CD33B5" w:rsidRDefault="00CD33B5" w:rsidP="00CD33B5">
      <w:pPr>
        <w:pStyle w:val="ListParagraph"/>
        <w:numPr>
          <w:ilvl w:val="0"/>
          <w:numId w:val="12"/>
        </w:numPr>
      </w:pPr>
      <w:r>
        <w:t>Review formats</w:t>
      </w:r>
    </w:p>
    <w:p w14:paraId="18988FB9" w14:textId="77777777" w:rsidR="00CD33B5" w:rsidRDefault="00CD33B5" w:rsidP="00CD33B5">
      <w:pPr>
        <w:pStyle w:val="ListParagraph"/>
        <w:numPr>
          <w:ilvl w:val="0"/>
          <w:numId w:val="12"/>
        </w:numPr>
      </w:pPr>
      <w:r>
        <w:lastRenderedPageBreak/>
        <w:t>Confirm compatibility</w:t>
      </w:r>
    </w:p>
    <w:p w14:paraId="2FCE683A" w14:textId="77777777" w:rsidR="00CD33B5" w:rsidRDefault="00CD33B5" w:rsidP="00CD33B5"/>
    <w:p w14:paraId="256E07D0" w14:textId="1170E088" w:rsidR="00CD33B5" w:rsidRDefault="00CD33B5" w:rsidP="00CD33B5">
      <w:r>
        <w:t>Testing infrastructure early prevents costly redesign.</w:t>
      </w:r>
    </w:p>
    <w:p w14:paraId="594FBDA2" w14:textId="2B8F1184" w:rsidR="00CD33B5" w:rsidRDefault="00CD33B5" w:rsidP="00CD33B5">
      <w:pPr>
        <w:pStyle w:val="Heading1"/>
      </w:pPr>
      <w:r>
        <w:t>Use Consistent Identifiers</w:t>
      </w:r>
    </w:p>
    <w:p w14:paraId="632AD959" w14:textId="77777777" w:rsidR="00CD33B5" w:rsidRDefault="00CD33B5" w:rsidP="00CD33B5">
      <w:r>
        <w:t>Every record should be traceable through a single, stable identifier.</w:t>
      </w:r>
    </w:p>
    <w:p w14:paraId="7DE121F1" w14:textId="77777777" w:rsidR="00CD33B5" w:rsidRDefault="00CD33B5" w:rsidP="00CD33B5"/>
    <w:p w14:paraId="40E008FF" w14:textId="77777777" w:rsidR="00CD33B5" w:rsidRDefault="00CD33B5" w:rsidP="00CD33B5">
      <w:r>
        <w:t>In clinical research, this protects confidentiality while enabling longitudinal analysis. In corporate analytics, it supports accurate customer or asset tracking.</w:t>
      </w:r>
    </w:p>
    <w:p w14:paraId="6DC5EE6F" w14:textId="77777777" w:rsidR="00CD33B5" w:rsidRDefault="00CD33B5" w:rsidP="00CD33B5"/>
    <w:p w14:paraId="3AE14951" w14:textId="3ED7CDF3" w:rsidR="00CD33B5" w:rsidRDefault="00CD33B5" w:rsidP="00CD33B5">
      <w:r>
        <w:t>Effective identifiers are:</w:t>
      </w:r>
    </w:p>
    <w:p w14:paraId="29FC84DB" w14:textId="7804BAA4" w:rsidR="00CD33B5" w:rsidRDefault="00CD33B5" w:rsidP="00CD33B5">
      <w:pPr>
        <w:pStyle w:val="ListParagraph"/>
        <w:numPr>
          <w:ilvl w:val="0"/>
          <w:numId w:val="13"/>
        </w:numPr>
      </w:pPr>
      <w:r>
        <w:t>Structured</w:t>
      </w:r>
    </w:p>
    <w:p w14:paraId="2093B756" w14:textId="68791DD6" w:rsidR="00CD33B5" w:rsidRDefault="00CD33B5" w:rsidP="00CD33B5">
      <w:pPr>
        <w:pStyle w:val="ListParagraph"/>
        <w:numPr>
          <w:ilvl w:val="0"/>
          <w:numId w:val="13"/>
        </w:numPr>
      </w:pPr>
      <w:r>
        <w:t>Non-personal</w:t>
      </w:r>
    </w:p>
    <w:p w14:paraId="5DED1B9B" w14:textId="77777777" w:rsidR="00CD33B5" w:rsidRDefault="00CD33B5" w:rsidP="00CD33B5">
      <w:pPr>
        <w:pStyle w:val="ListParagraph"/>
        <w:numPr>
          <w:ilvl w:val="0"/>
          <w:numId w:val="13"/>
        </w:numPr>
      </w:pPr>
      <w:r>
        <w:t>Consistently applied</w:t>
      </w:r>
    </w:p>
    <w:p w14:paraId="6C490071" w14:textId="77777777" w:rsidR="00CD33B5" w:rsidRDefault="00CD33B5" w:rsidP="00CD33B5"/>
    <w:p w14:paraId="4FA7AF09" w14:textId="2A9FB5EB" w:rsidR="00CD33B5" w:rsidRDefault="00CD33B5" w:rsidP="00CD33B5">
      <w:r>
        <w:t>This foundation enables reliable integration.</w:t>
      </w:r>
    </w:p>
    <w:p w14:paraId="70E965E3" w14:textId="186A5F10" w:rsidR="00CD33B5" w:rsidRDefault="00CD33B5" w:rsidP="00CD33B5">
      <w:pPr>
        <w:pStyle w:val="Heading1"/>
      </w:pPr>
      <w:r>
        <w:t>Plan for Adequate Sample Size</w:t>
      </w:r>
    </w:p>
    <w:p w14:paraId="44F6A7E1" w14:textId="77777777" w:rsidR="00CD33B5" w:rsidRDefault="00CD33B5" w:rsidP="00CD33B5">
      <w:r>
        <w:t>Data quality includes data quantity.</w:t>
      </w:r>
    </w:p>
    <w:p w14:paraId="45934AAA" w14:textId="77777777" w:rsidR="00CD33B5" w:rsidRDefault="00CD33B5" w:rsidP="00CD33B5"/>
    <w:p w14:paraId="3EA43320" w14:textId="77777777" w:rsidR="00CD33B5" w:rsidRDefault="00CD33B5" w:rsidP="00CD33B5">
      <w:r>
        <w:t>When designing applied research projects, I routinely encourage teams to estimate realistic participation rates. For example, in clinical education studies, anticipated attrition often reduces usable samples by 30–50 percent.</w:t>
      </w:r>
    </w:p>
    <w:p w14:paraId="3C4A2486" w14:textId="77777777" w:rsidR="00CD33B5" w:rsidRDefault="00CD33B5" w:rsidP="00CD33B5"/>
    <w:p w14:paraId="0367F09D" w14:textId="77777777" w:rsidR="00CD33B5" w:rsidRDefault="00CD33B5" w:rsidP="00CD33B5">
      <w:r>
        <w:t>If a project begins with ten potential participants, exclusions and non-response may leave too little data for defensible conclusions.</w:t>
      </w:r>
    </w:p>
    <w:p w14:paraId="458678E6" w14:textId="77777777" w:rsidR="00CD33B5" w:rsidRDefault="00CD33B5" w:rsidP="00CD33B5"/>
    <w:p w14:paraId="52D8DC6E" w14:textId="77777777" w:rsidR="00CD33B5" w:rsidRDefault="00CD33B5" w:rsidP="00CD33B5">
      <w:r>
        <w:t>The same principle applies in business analytics: insufficient volume weakens inference and forecasting.</w:t>
      </w:r>
    </w:p>
    <w:p w14:paraId="648D4FBC" w14:textId="77777777" w:rsidR="00CD33B5" w:rsidRDefault="00CD33B5" w:rsidP="00CD33B5"/>
    <w:p w14:paraId="4A6D7F7E" w14:textId="43CDA25C" w:rsidR="00CD33B5" w:rsidRDefault="00CD33B5" w:rsidP="00CD33B5">
      <w:r>
        <w:t>Planning for attrition is essential.</w:t>
      </w:r>
    </w:p>
    <w:p w14:paraId="361CFCB2" w14:textId="7722A40D" w:rsidR="00CD33B5" w:rsidRDefault="00CD33B5" w:rsidP="00CD33B5">
      <w:pPr>
        <w:pStyle w:val="Heading1"/>
      </w:pPr>
      <w:r>
        <w:t>Design Instruments With Analysis in Mind</w:t>
      </w:r>
    </w:p>
    <w:p w14:paraId="11170864" w14:textId="77777777" w:rsidR="00CD33B5" w:rsidRDefault="00CD33B5" w:rsidP="00CD33B5">
      <w:r>
        <w:t>Collection tools should support interpretation.</w:t>
      </w:r>
    </w:p>
    <w:p w14:paraId="3BA9A1FF" w14:textId="77777777" w:rsidR="00CD33B5" w:rsidRDefault="00CD33B5" w:rsidP="00CD33B5"/>
    <w:p w14:paraId="412A14BF" w14:textId="44593FE3" w:rsidR="00CD33B5" w:rsidRDefault="00CD33B5" w:rsidP="00CD33B5">
      <w:r>
        <w:t>Effective design includes:</w:t>
      </w:r>
    </w:p>
    <w:p w14:paraId="481269EE" w14:textId="2EF4BAC9" w:rsidR="00CD33B5" w:rsidRDefault="00CD33B5" w:rsidP="00CD33B5">
      <w:pPr>
        <w:pStyle w:val="ListParagraph"/>
        <w:numPr>
          <w:ilvl w:val="0"/>
          <w:numId w:val="14"/>
        </w:numPr>
      </w:pPr>
      <w:r>
        <w:t>Consistent response scales</w:t>
      </w:r>
    </w:p>
    <w:p w14:paraId="3712A093" w14:textId="7DAE8A41" w:rsidR="00CD33B5" w:rsidRDefault="00CD33B5" w:rsidP="00CD33B5">
      <w:pPr>
        <w:pStyle w:val="ListParagraph"/>
        <w:numPr>
          <w:ilvl w:val="0"/>
          <w:numId w:val="14"/>
        </w:numPr>
      </w:pPr>
      <w:r>
        <w:t>Clearly defined categories</w:t>
      </w:r>
    </w:p>
    <w:p w14:paraId="7E276463" w14:textId="2BFAECA1" w:rsidR="00CD33B5" w:rsidRDefault="00CD33B5" w:rsidP="00CD33B5">
      <w:pPr>
        <w:pStyle w:val="ListParagraph"/>
        <w:numPr>
          <w:ilvl w:val="0"/>
          <w:numId w:val="14"/>
        </w:numPr>
      </w:pPr>
      <w:r>
        <w:t>Limited free-text fields</w:t>
      </w:r>
    </w:p>
    <w:p w14:paraId="48432512" w14:textId="77777777" w:rsidR="00CD33B5" w:rsidRDefault="00CD33B5" w:rsidP="00CD33B5">
      <w:pPr>
        <w:pStyle w:val="ListParagraph"/>
        <w:numPr>
          <w:ilvl w:val="0"/>
          <w:numId w:val="14"/>
        </w:numPr>
      </w:pPr>
      <w:r>
        <w:t>Standardized formats</w:t>
      </w:r>
    </w:p>
    <w:p w14:paraId="52F20E29" w14:textId="77777777" w:rsidR="00CD33B5" w:rsidRDefault="00CD33B5" w:rsidP="00CD33B5"/>
    <w:p w14:paraId="2B1626F1" w14:textId="77777777" w:rsidR="00CD33B5" w:rsidRDefault="00CD33B5" w:rsidP="00CD33B5">
      <w:r>
        <w:t>In healthcare surveys, inconsistent scales complicate outcome evaluation. In customer analytics, unstructured inputs reduce usability.</w:t>
      </w:r>
    </w:p>
    <w:p w14:paraId="0BE0C28C" w14:textId="77777777" w:rsidR="00CD33B5" w:rsidRDefault="00CD33B5" w:rsidP="00CD33B5"/>
    <w:p w14:paraId="7632A48B" w14:textId="06FC85A8" w:rsidR="00CD33B5" w:rsidRDefault="00CD33B5" w:rsidP="00CD33B5">
      <w:r>
        <w:t>Standardization strengthens reliability.</w:t>
      </w:r>
    </w:p>
    <w:p w14:paraId="04E0B952" w14:textId="5B98AFF0" w:rsidR="00CD33B5" w:rsidRDefault="00CD33B5" w:rsidP="00CD33B5">
      <w:pPr>
        <w:pStyle w:val="Heading1"/>
      </w:pPr>
      <w:r>
        <w:t>Monitor Data Quality During Collection</w:t>
      </w:r>
    </w:p>
    <w:p w14:paraId="3C323423" w14:textId="77777777" w:rsidR="00CD33B5" w:rsidRDefault="00CD33B5" w:rsidP="00CD33B5">
      <w:r>
        <w:t>Waiting until data collection is complete increases risk.</w:t>
      </w:r>
    </w:p>
    <w:p w14:paraId="6D070924" w14:textId="77777777" w:rsidR="00CD33B5" w:rsidRDefault="00CD33B5" w:rsidP="00CD33B5"/>
    <w:p w14:paraId="2AED2C00" w14:textId="00FE5DBA" w:rsidR="00CD33B5" w:rsidRDefault="00CD33B5" w:rsidP="00CD33B5">
      <w:r>
        <w:t>Regular reviews should assess:</w:t>
      </w:r>
    </w:p>
    <w:p w14:paraId="74F2F69E" w14:textId="395E4B0A" w:rsidR="00CD33B5" w:rsidRDefault="00CD33B5" w:rsidP="00CD33B5">
      <w:pPr>
        <w:pStyle w:val="ListParagraph"/>
        <w:numPr>
          <w:ilvl w:val="0"/>
          <w:numId w:val="15"/>
        </w:numPr>
      </w:pPr>
      <w:r>
        <w:t>Missing responses</w:t>
      </w:r>
    </w:p>
    <w:p w14:paraId="22192C10" w14:textId="71718763" w:rsidR="00CD33B5" w:rsidRDefault="00CD33B5" w:rsidP="00CD33B5">
      <w:pPr>
        <w:pStyle w:val="ListParagraph"/>
        <w:numPr>
          <w:ilvl w:val="0"/>
          <w:numId w:val="15"/>
        </w:numPr>
      </w:pPr>
      <w:r>
        <w:t>Outliers</w:t>
      </w:r>
    </w:p>
    <w:p w14:paraId="60DC37C3" w14:textId="2B63D495" w:rsidR="00CD33B5" w:rsidRDefault="00CD33B5" w:rsidP="00CD33B5">
      <w:pPr>
        <w:pStyle w:val="ListParagraph"/>
        <w:numPr>
          <w:ilvl w:val="0"/>
          <w:numId w:val="15"/>
        </w:numPr>
      </w:pPr>
      <w:r>
        <w:t>Duplicates</w:t>
      </w:r>
    </w:p>
    <w:p w14:paraId="7B5425E1" w14:textId="77777777" w:rsidR="00CD33B5" w:rsidRDefault="00CD33B5" w:rsidP="00CD33B5">
      <w:pPr>
        <w:pStyle w:val="ListParagraph"/>
        <w:numPr>
          <w:ilvl w:val="0"/>
          <w:numId w:val="15"/>
        </w:numPr>
      </w:pPr>
      <w:r>
        <w:t>Formatting anomalies</w:t>
      </w:r>
    </w:p>
    <w:p w14:paraId="663E141C" w14:textId="77777777" w:rsidR="00CD33B5" w:rsidRDefault="00CD33B5" w:rsidP="00CD33B5"/>
    <w:p w14:paraId="76965B3F" w14:textId="77777777" w:rsidR="00CD33B5" w:rsidRDefault="00CD33B5" w:rsidP="00CD33B5">
      <w:r>
        <w:t>In applied research environments, early intervention prevents project delays. In operational settings, it reduces rework.</w:t>
      </w:r>
    </w:p>
    <w:p w14:paraId="0137815E" w14:textId="77777777" w:rsidR="00CD33B5" w:rsidRDefault="00CD33B5" w:rsidP="00CD33B5"/>
    <w:p w14:paraId="1ACF2214" w14:textId="0BA27437" w:rsidR="00CD33B5" w:rsidRDefault="00CD33B5" w:rsidP="00CD33B5">
      <w:r>
        <w:t>Continuous monitoring is a professional best practice.</w:t>
      </w:r>
    </w:p>
    <w:p w14:paraId="1BF33BF7" w14:textId="0F109F36" w:rsidR="00CD33B5" w:rsidRDefault="00CD33B5" w:rsidP="00CD33B5">
      <w:pPr>
        <w:pStyle w:val="Heading1"/>
      </w:pPr>
      <w:r>
        <w:t>Maintain a Data Decision Log</w:t>
      </w:r>
    </w:p>
    <w:p w14:paraId="5D5028FA" w14:textId="77777777" w:rsidR="00CD33B5" w:rsidRDefault="00CD33B5" w:rsidP="00CD33B5">
      <w:r>
        <w:t>All modifications should be documented.</w:t>
      </w:r>
    </w:p>
    <w:p w14:paraId="6740EC23" w14:textId="77777777" w:rsidR="00CD33B5" w:rsidRDefault="00CD33B5" w:rsidP="00CD33B5"/>
    <w:p w14:paraId="3A4DFA23" w14:textId="6D1487EC" w:rsidR="00CD33B5" w:rsidRDefault="00CD33B5" w:rsidP="00CD33B5">
      <w:r>
        <w:t>A simple log records:</w:t>
      </w:r>
    </w:p>
    <w:p w14:paraId="006BEB9D" w14:textId="47AF5FCC" w:rsidR="00CD33B5" w:rsidRDefault="00CD33B5" w:rsidP="00CD33B5">
      <w:pPr>
        <w:pStyle w:val="ListParagraph"/>
        <w:numPr>
          <w:ilvl w:val="0"/>
          <w:numId w:val="16"/>
        </w:numPr>
      </w:pPr>
      <w:r>
        <w:t>Removed records</w:t>
      </w:r>
    </w:p>
    <w:p w14:paraId="2E11A8E9" w14:textId="2DFAE0B7" w:rsidR="00CD33B5" w:rsidRDefault="00CD33B5" w:rsidP="00CD33B5">
      <w:pPr>
        <w:pStyle w:val="ListParagraph"/>
        <w:numPr>
          <w:ilvl w:val="0"/>
          <w:numId w:val="16"/>
        </w:numPr>
      </w:pPr>
      <w:r>
        <w:t>Corrections</w:t>
      </w:r>
    </w:p>
    <w:p w14:paraId="1E73CE5C" w14:textId="0C8B8A86" w:rsidR="00CD33B5" w:rsidRDefault="00CD33B5" w:rsidP="00CD33B5">
      <w:pPr>
        <w:pStyle w:val="ListParagraph"/>
        <w:numPr>
          <w:ilvl w:val="0"/>
          <w:numId w:val="16"/>
        </w:numPr>
      </w:pPr>
      <w:r>
        <w:t>Recoding rules</w:t>
      </w:r>
    </w:p>
    <w:p w14:paraId="5BC06C12" w14:textId="77777777" w:rsidR="00CD33B5" w:rsidRDefault="00CD33B5" w:rsidP="00CD33B5">
      <w:pPr>
        <w:pStyle w:val="ListParagraph"/>
        <w:numPr>
          <w:ilvl w:val="0"/>
          <w:numId w:val="16"/>
        </w:numPr>
      </w:pPr>
      <w:r>
        <w:t>Assumptions</w:t>
      </w:r>
    </w:p>
    <w:p w14:paraId="7FFEE7C5" w14:textId="77777777" w:rsidR="00CD33B5" w:rsidRDefault="00CD33B5" w:rsidP="00CD33B5"/>
    <w:p w14:paraId="516DCE4C" w14:textId="0BB89E35" w:rsidR="00CD33B5" w:rsidRDefault="00CD33B5" w:rsidP="00CD33B5">
      <w:r>
        <w:t>This practice supports transparency, auditability, and reproducibility across domains.</w:t>
      </w:r>
    </w:p>
    <w:p w14:paraId="3E1EB643" w14:textId="4C961B00" w:rsidR="00CD33B5" w:rsidRDefault="00CD33B5" w:rsidP="00CD33B5">
      <w:pPr>
        <w:pStyle w:val="Heading1"/>
      </w:pPr>
      <w:r>
        <w:t>Separate Raw, Working, and Final Data</w:t>
      </w:r>
    </w:p>
    <w:p w14:paraId="3B42EEB3" w14:textId="77777777" w:rsidR="00CD33B5" w:rsidRDefault="00CD33B5" w:rsidP="00CD33B5">
      <w:r>
        <w:t>Protect original data assets.</w:t>
      </w:r>
    </w:p>
    <w:p w14:paraId="11CC1203" w14:textId="77777777" w:rsidR="00CD33B5" w:rsidRDefault="00CD33B5" w:rsidP="00CD33B5"/>
    <w:p w14:paraId="5CDBAD6B" w14:textId="77777777" w:rsidR="00CD33B5" w:rsidRDefault="00CD33B5" w:rsidP="00CD33B5">
      <w:r>
        <w:t>Maintaining distinct versions preserves integrity and supports iterative development. This applies equally to patient surveys, financial records, and operational datasets.</w:t>
      </w:r>
    </w:p>
    <w:p w14:paraId="7298C1C7" w14:textId="77777777" w:rsidR="00CD33B5" w:rsidRDefault="00CD33B5" w:rsidP="00CD33B5"/>
    <w:p w14:paraId="1166CDFE" w14:textId="3596B008" w:rsidR="00CD33B5" w:rsidRDefault="00CD33B5" w:rsidP="00CD33B5">
      <w:r>
        <w:t>Version control is a core governance practice.</w:t>
      </w:r>
    </w:p>
    <w:p w14:paraId="0B765711" w14:textId="48ABAD88" w:rsidR="00CD33B5" w:rsidRDefault="00CD33B5" w:rsidP="00CD33B5">
      <w:pPr>
        <w:pStyle w:val="Heading1"/>
      </w:pPr>
      <w:r>
        <w:t>Validate Before Analysis</w:t>
      </w:r>
    </w:p>
    <w:p w14:paraId="7B00E0E5" w14:textId="653C0F72" w:rsidR="00CD33B5" w:rsidRDefault="00CD33B5" w:rsidP="00CD33B5">
      <w:r>
        <w:t>Before statistical modeling or dashboard development, confirm:</w:t>
      </w:r>
    </w:p>
    <w:p w14:paraId="5B39D7AA" w14:textId="203FFDB0" w:rsidR="00CD33B5" w:rsidRDefault="00CD33B5" w:rsidP="00CD33B5">
      <w:pPr>
        <w:pStyle w:val="ListParagraph"/>
        <w:numPr>
          <w:ilvl w:val="0"/>
          <w:numId w:val="17"/>
        </w:numPr>
      </w:pPr>
      <w:r>
        <w:t>Sample size accuracy</w:t>
      </w:r>
    </w:p>
    <w:p w14:paraId="6524F9A6" w14:textId="51F41DC1" w:rsidR="00CD33B5" w:rsidRDefault="00CD33B5" w:rsidP="00CD33B5">
      <w:pPr>
        <w:pStyle w:val="ListParagraph"/>
        <w:numPr>
          <w:ilvl w:val="0"/>
          <w:numId w:val="17"/>
        </w:numPr>
      </w:pPr>
      <w:r>
        <w:t>Variable alignment with objectives</w:t>
      </w:r>
    </w:p>
    <w:p w14:paraId="11EE45B3" w14:textId="1D2666A2" w:rsidR="00CD33B5" w:rsidRDefault="00CD33B5" w:rsidP="00CD33B5">
      <w:pPr>
        <w:pStyle w:val="ListParagraph"/>
        <w:numPr>
          <w:ilvl w:val="0"/>
          <w:numId w:val="17"/>
        </w:numPr>
      </w:pPr>
      <w:r>
        <w:t>Coding consistency</w:t>
      </w:r>
    </w:p>
    <w:p w14:paraId="7CF48E0F" w14:textId="77777777" w:rsidR="00CD33B5" w:rsidRDefault="00CD33B5" w:rsidP="00CD33B5">
      <w:pPr>
        <w:pStyle w:val="ListParagraph"/>
        <w:numPr>
          <w:ilvl w:val="0"/>
          <w:numId w:val="17"/>
        </w:numPr>
      </w:pPr>
      <w:r>
        <w:t>Missingness patterns</w:t>
      </w:r>
    </w:p>
    <w:p w14:paraId="4CFAD1D4" w14:textId="77777777" w:rsidR="00CD33B5" w:rsidRDefault="00CD33B5" w:rsidP="00CD33B5"/>
    <w:p w14:paraId="4D509FEF" w14:textId="77777777" w:rsidR="00CD33B5" w:rsidRDefault="00CD33B5" w:rsidP="00CD33B5">
      <w:r>
        <w:t>In healthcare research, this protects clinical validity. In enterprise analytics, it protects business credibility.</w:t>
      </w:r>
    </w:p>
    <w:p w14:paraId="29147F93" w14:textId="77777777" w:rsidR="00CD33B5" w:rsidRDefault="00CD33B5" w:rsidP="00CD33B5"/>
    <w:p w14:paraId="43680538" w14:textId="7D2D23AD" w:rsidR="00CD33B5" w:rsidRDefault="00CD33B5" w:rsidP="00CD33B5">
      <w:r>
        <w:t>Validation is the final quality gate.</w:t>
      </w:r>
    </w:p>
    <w:p w14:paraId="0C8A4DAE" w14:textId="47BEABEB" w:rsidR="00CD33B5" w:rsidRDefault="00CD33B5" w:rsidP="00CD33B5">
      <w:pPr>
        <w:pStyle w:val="Heading1"/>
        <w:numPr>
          <w:ilvl w:val="0"/>
          <w:numId w:val="0"/>
        </w:numPr>
      </w:pPr>
      <w:r>
        <w:t>Building Durable Analytics Foundations</w:t>
      </w:r>
    </w:p>
    <w:p w14:paraId="30D2CA07" w14:textId="77777777" w:rsidR="00CD33B5" w:rsidRDefault="00CD33B5" w:rsidP="00CD33B5">
      <w:r>
        <w:t>Clean data is not about perfection. It is about intentional design.</w:t>
      </w:r>
    </w:p>
    <w:p w14:paraId="219D42C4" w14:textId="77777777" w:rsidR="00CD33B5" w:rsidRDefault="00CD33B5" w:rsidP="00CD33B5"/>
    <w:p w14:paraId="291712F9" w14:textId="77777777" w:rsidR="00CD33B5" w:rsidRDefault="00CD33B5" w:rsidP="00CD33B5">
      <w:r>
        <w:t>Across clinical research, education, and enterprise environments, strong analytical outcomes depend on disciplined preparation, documentation, and validation.</w:t>
      </w:r>
    </w:p>
    <w:p w14:paraId="753FB604" w14:textId="77777777" w:rsidR="00CD33B5" w:rsidRDefault="00CD33B5" w:rsidP="00CD33B5"/>
    <w:p w14:paraId="2836B64F" w14:textId="77777777" w:rsidR="00CD33B5" w:rsidRDefault="00CD33B5" w:rsidP="00CD33B5">
      <w:r>
        <w:t>When organizations invest in these foundational practices, analysts spend less time repairing datasets and more time generating insight.</w:t>
      </w:r>
    </w:p>
    <w:p w14:paraId="55FCBC1B" w14:textId="77777777" w:rsidR="00CD33B5" w:rsidRDefault="00CD33B5" w:rsidP="00CD33B5"/>
    <w:p w14:paraId="68E447DC" w14:textId="5BC9359E" w:rsidR="008B3DC1" w:rsidRDefault="00CD33B5" w:rsidP="00CD33B5">
      <w:r>
        <w:t>The result is faster decision-making, stronger evidence, and more sustainable analytics systems.</w:t>
      </w:r>
    </w:p>
    <w:sectPr w:rsidR="008B3DC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63C" w14:textId="77777777" w:rsidR="0043657A" w:rsidRDefault="0043657A" w:rsidP="00B731C6">
      <w:r>
        <w:separator/>
      </w:r>
    </w:p>
  </w:endnote>
  <w:endnote w:type="continuationSeparator" w:id="0">
    <w:p w14:paraId="7905D357" w14:textId="77777777" w:rsidR="0043657A" w:rsidRDefault="0043657A" w:rsidP="00B73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23B1" w14:textId="7C38443B" w:rsidR="00B731C6" w:rsidRDefault="00B731C6">
    <w:pPr>
      <w:pStyle w:val="Footer"/>
    </w:pPr>
    <w:r w:rsidRPr="00B731C6">
      <w:t>© 2026 | Andy Burnett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BDF1" w14:textId="77777777" w:rsidR="0043657A" w:rsidRDefault="0043657A" w:rsidP="00B731C6">
      <w:r>
        <w:separator/>
      </w:r>
    </w:p>
  </w:footnote>
  <w:footnote w:type="continuationSeparator" w:id="0">
    <w:p w14:paraId="15CF5CE0" w14:textId="77777777" w:rsidR="0043657A" w:rsidRDefault="0043657A" w:rsidP="00B73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AD2"/>
    <w:multiLevelType w:val="hybridMultilevel"/>
    <w:tmpl w:val="05807874"/>
    <w:lvl w:ilvl="0" w:tplc="9E2C847A">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226B3D"/>
    <w:multiLevelType w:val="hybridMultilevel"/>
    <w:tmpl w:val="7DC8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1816"/>
    <w:multiLevelType w:val="hybridMultilevel"/>
    <w:tmpl w:val="65F0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B4CA9"/>
    <w:multiLevelType w:val="hybridMultilevel"/>
    <w:tmpl w:val="7C16C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A42C4"/>
    <w:multiLevelType w:val="hybridMultilevel"/>
    <w:tmpl w:val="2EF6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32694"/>
    <w:multiLevelType w:val="hybridMultilevel"/>
    <w:tmpl w:val="5FD2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105F8"/>
    <w:multiLevelType w:val="hybridMultilevel"/>
    <w:tmpl w:val="512A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F7732"/>
    <w:multiLevelType w:val="hybridMultilevel"/>
    <w:tmpl w:val="FDA6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D4B1A"/>
    <w:multiLevelType w:val="hybridMultilevel"/>
    <w:tmpl w:val="F4DAF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24957"/>
    <w:multiLevelType w:val="hybridMultilevel"/>
    <w:tmpl w:val="9EDA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DF5B4E"/>
    <w:multiLevelType w:val="hybridMultilevel"/>
    <w:tmpl w:val="1772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B7AC7"/>
    <w:multiLevelType w:val="hybridMultilevel"/>
    <w:tmpl w:val="CC3C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AB7A2C"/>
    <w:multiLevelType w:val="hybridMultilevel"/>
    <w:tmpl w:val="5FCC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311F42"/>
    <w:multiLevelType w:val="hybridMultilevel"/>
    <w:tmpl w:val="A54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45707A"/>
    <w:multiLevelType w:val="hybridMultilevel"/>
    <w:tmpl w:val="7860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0B3F0E"/>
    <w:multiLevelType w:val="hybridMultilevel"/>
    <w:tmpl w:val="9194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05FB3"/>
    <w:multiLevelType w:val="hybridMultilevel"/>
    <w:tmpl w:val="4F5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697379">
    <w:abstractNumId w:val="0"/>
  </w:num>
  <w:num w:numId="2" w16cid:durableId="1842575478">
    <w:abstractNumId w:val="1"/>
  </w:num>
  <w:num w:numId="3" w16cid:durableId="210926904">
    <w:abstractNumId w:val="5"/>
  </w:num>
  <w:num w:numId="4" w16cid:durableId="1069621145">
    <w:abstractNumId w:val="12"/>
  </w:num>
  <w:num w:numId="5" w16cid:durableId="713886630">
    <w:abstractNumId w:val="3"/>
  </w:num>
  <w:num w:numId="6" w16cid:durableId="444038131">
    <w:abstractNumId w:val="13"/>
  </w:num>
  <w:num w:numId="7" w16cid:durableId="757094815">
    <w:abstractNumId w:val="15"/>
  </w:num>
  <w:num w:numId="8" w16cid:durableId="1048333409">
    <w:abstractNumId w:val="14"/>
  </w:num>
  <w:num w:numId="9" w16cid:durableId="33386772">
    <w:abstractNumId w:val="11"/>
  </w:num>
  <w:num w:numId="10" w16cid:durableId="1286693140">
    <w:abstractNumId w:val="2"/>
  </w:num>
  <w:num w:numId="11" w16cid:durableId="817573545">
    <w:abstractNumId w:val="6"/>
  </w:num>
  <w:num w:numId="12" w16cid:durableId="1445078118">
    <w:abstractNumId w:val="4"/>
  </w:num>
  <w:num w:numId="13" w16cid:durableId="1551459459">
    <w:abstractNumId w:val="8"/>
  </w:num>
  <w:num w:numId="14" w16cid:durableId="1264071150">
    <w:abstractNumId w:val="7"/>
  </w:num>
  <w:num w:numId="15" w16cid:durableId="612323438">
    <w:abstractNumId w:val="10"/>
  </w:num>
  <w:num w:numId="16" w16cid:durableId="2026511818">
    <w:abstractNumId w:val="16"/>
  </w:num>
  <w:num w:numId="17" w16cid:durableId="438381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0A"/>
    <w:rsid w:val="00067BB9"/>
    <w:rsid w:val="00115CF9"/>
    <w:rsid w:val="0043657A"/>
    <w:rsid w:val="005B44D2"/>
    <w:rsid w:val="007954CD"/>
    <w:rsid w:val="008B3DC1"/>
    <w:rsid w:val="00B1460A"/>
    <w:rsid w:val="00B731C6"/>
    <w:rsid w:val="00BC755C"/>
    <w:rsid w:val="00BF621D"/>
    <w:rsid w:val="00CC2006"/>
    <w:rsid w:val="00CD33B5"/>
    <w:rsid w:val="00D06DF7"/>
    <w:rsid w:val="00D4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73B3A2"/>
  <w15:chartTrackingRefBased/>
  <w15:docId w15:val="{08FE6756-6803-CE4E-A651-4C3D8AB2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60A"/>
    <w:pPr>
      <w:keepNext/>
      <w:keepLines/>
      <w:numPr>
        <w:numId w:val="1"/>
      </w:numPr>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14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6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6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46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46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6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6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6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D06DF7"/>
    <w:pPr>
      <w:spacing w:after="200"/>
      <w:contextualSpacing/>
    </w:pPr>
    <w:rPr>
      <w:rFonts w:ascii="Courier New" w:eastAsiaTheme="minorEastAsia" w:hAnsi="Courier New" w:cstheme="minorBidi"/>
      <w:kern w:val="0"/>
      <w:sz w:val="20"/>
      <w:szCs w:val="22"/>
      <w14:ligatures w14:val="none"/>
    </w:rPr>
  </w:style>
  <w:style w:type="character" w:customStyle="1" w:styleId="Heading1Char">
    <w:name w:val="Heading 1 Char"/>
    <w:basedOn w:val="DefaultParagraphFont"/>
    <w:link w:val="Heading1"/>
    <w:uiPriority w:val="9"/>
    <w:rsid w:val="00B1460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14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6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6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46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46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6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6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6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46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46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60A"/>
    <w:rPr>
      <w:i/>
      <w:iCs/>
      <w:color w:val="404040" w:themeColor="text1" w:themeTint="BF"/>
    </w:rPr>
  </w:style>
  <w:style w:type="paragraph" w:styleId="ListParagraph">
    <w:name w:val="List Paragraph"/>
    <w:basedOn w:val="Normal"/>
    <w:uiPriority w:val="34"/>
    <w:qFormat/>
    <w:rsid w:val="00B1460A"/>
    <w:pPr>
      <w:ind w:left="720"/>
      <w:contextualSpacing/>
    </w:pPr>
  </w:style>
  <w:style w:type="character" w:styleId="IntenseEmphasis">
    <w:name w:val="Intense Emphasis"/>
    <w:basedOn w:val="DefaultParagraphFont"/>
    <w:uiPriority w:val="21"/>
    <w:qFormat/>
    <w:rsid w:val="00B1460A"/>
    <w:rPr>
      <w:i/>
      <w:iCs/>
      <w:color w:val="0F4761" w:themeColor="accent1" w:themeShade="BF"/>
    </w:rPr>
  </w:style>
  <w:style w:type="paragraph" w:styleId="IntenseQuote">
    <w:name w:val="Intense Quote"/>
    <w:basedOn w:val="Normal"/>
    <w:next w:val="Normal"/>
    <w:link w:val="IntenseQuoteChar"/>
    <w:uiPriority w:val="30"/>
    <w:qFormat/>
    <w:rsid w:val="00B14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60A"/>
    <w:rPr>
      <w:i/>
      <w:iCs/>
      <w:color w:val="0F4761" w:themeColor="accent1" w:themeShade="BF"/>
    </w:rPr>
  </w:style>
  <w:style w:type="character" w:styleId="IntenseReference">
    <w:name w:val="Intense Reference"/>
    <w:basedOn w:val="DefaultParagraphFont"/>
    <w:uiPriority w:val="32"/>
    <w:qFormat/>
    <w:rsid w:val="00B1460A"/>
    <w:rPr>
      <w:b/>
      <w:bCs/>
      <w:smallCaps/>
      <w:color w:val="0F4761" w:themeColor="accent1" w:themeShade="BF"/>
      <w:spacing w:val="5"/>
    </w:rPr>
  </w:style>
  <w:style w:type="paragraph" w:styleId="Header">
    <w:name w:val="header"/>
    <w:basedOn w:val="Normal"/>
    <w:link w:val="HeaderChar"/>
    <w:uiPriority w:val="99"/>
    <w:unhideWhenUsed/>
    <w:rsid w:val="00B731C6"/>
    <w:pPr>
      <w:tabs>
        <w:tab w:val="center" w:pos="4680"/>
        <w:tab w:val="right" w:pos="9360"/>
      </w:tabs>
    </w:pPr>
  </w:style>
  <w:style w:type="character" w:customStyle="1" w:styleId="HeaderChar">
    <w:name w:val="Header Char"/>
    <w:basedOn w:val="DefaultParagraphFont"/>
    <w:link w:val="Header"/>
    <w:uiPriority w:val="99"/>
    <w:rsid w:val="00B731C6"/>
  </w:style>
  <w:style w:type="paragraph" w:styleId="Footer">
    <w:name w:val="footer"/>
    <w:basedOn w:val="Normal"/>
    <w:link w:val="FooterChar"/>
    <w:uiPriority w:val="99"/>
    <w:unhideWhenUsed/>
    <w:rsid w:val="00B731C6"/>
    <w:pPr>
      <w:tabs>
        <w:tab w:val="center" w:pos="4680"/>
        <w:tab w:val="right" w:pos="9360"/>
      </w:tabs>
    </w:pPr>
  </w:style>
  <w:style w:type="character" w:customStyle="1" w:styleId="FooterChar">
    <w:name w:val="Footer Char"/>
    <w:basedOn w:val="DefaultParagraphFont"/>
    <w:link w:val="Footer"/>
    <w:uiPriority w:val="99"/>
    <w:rsid w:val="00B73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727</Words>
  <Characters>4207</Characters>
  <Application>Microsoft Office Word</Application>
  <DocSecurity>0</DocSecurity>
  <Lines>89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Burnett</dc:creator>
  <cp:keywords/>
  <dc:description/>
  <cp:lastModifiedBy>James Burnett</cp:lastModifiedBy>
  <cp:revision>2</cp:revision>
  <dcterms:created xsi:type="dcterms:W3CDTF">2026-01-25T14:18:00Z</dcterms:created>
  <dcterms:modified xsi:type="dcterms:W3CDTF">2026-01-25T16:38:00Z</dcterms:modified>
</cp:coreProperties>
</file>