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Eve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Lean Runtime Architecture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 maintainers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September 25,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 architecture analysis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 maintainers (pending review)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eve-lean-runtime-plan.md; eve-lean-runtime-architecture.md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Windows CPU base, optional NVIDIA runtime, upgrade and release gates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Proposal: ship a fully functional CPU Windows app and offer NVIDIA acceleration as an explicit, version-matched download. Electron owns pack acquisition and validation; Python consumes only a validated runtime directory. The default package omits PyTorch and CUDA libraries after all PyTorch-only call sites are replaced.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This is a design, not a release claim. Quick and Long dictation, history, hotkeys, upgrades, and rollback must remain stable. Package, installed, and model-cache bytes are separate measures. The optional pack is native executable code and must pass provenance, license, integrity, and real-inference gates.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Reduce default payload; measure archive and installed bytes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Claim an installer target before packaging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Preserve Quick/Long dictation and saved settings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Change Eve identity, profiles, or hotkeys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Offer explicit verified GPU download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 system CUDA Toolkit or silent download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Recover safely from failed install and upgrade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Delete existing model caches or user data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On pinned Windows CPython 3.11, the current release site-packages tree measured 4,941,557,529 bytes; PyTorch accounted for 4,644,232,862. A CPU Faster-Whisper closure measured 285,496,116 bytes. The raw difference is 4,656,061,413 bytes (94.2%), before Electron filters and archive compression. No replacement installer has been measured.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CTranslate2 performs inference, while PyTorch currently supplies CUDA DLL paths, GPU diagnostics, and cleanup. Electron and Python both register torch/lib. A CPU-first build must replace those seams and preserve saved CUDA preferences even when CUDA is unavailable; the current settings loader can otherwise revert unrelated values to defaults for the session.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CPU base, optional verified GPU pack, and runtime capability boundary.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base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Faster-Whisper + CTranslate2; no Torch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Packaged Python runtime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dictation stays available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GPU pack manager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Fetch, validate, stage, publish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immutable pack dirs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prior pack; retry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 resolver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Bind build to validated pack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Pinned app descriptor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Use CPU; show reason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Python adapter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Register DLLs; probe device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Process environment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Report effective CPU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Release verifier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Prove closures and assets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Build artifacts / manifest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Block publication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Launch: Electron reads the trusted pack descriptor shipped with this app build and finds a compatible installed pack. The CPU server can start without a pack or NVIDIA driver.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Opt-in: a user action starts one bounded download. Verify transport result, exact archive size and hash, member paths, names, sizes, hashes, architecture, version, source, and license record.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Activation: extract to a staging directory, verify contents, then atomically publish an immutable pack. A failed or interrupted attempt leaves the prior valid pack and CPU path usable.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Server start: Electron privately resolves a validated directory and passes it to a managed Python process. Python registers DLL search paths before CTranslate2 imports; no path or URL reaches renderer IPC.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Runtime: CTranslate2 probes actual CUDA availability. Resolve requested device and precision to effective values without rewriting saved preferences; surface fallback reasons in diagnostics.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Adoption: compare the running server runtime fingerprint before reuse. A stale or unmanaged process cannot silently claim the newly active pack; restart is explicit when required.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Result: expose pack state, effective device, inference outcome, and bounded error codes. Record no audio, transcript, profile, token, or user model-cache contents in pack telemetry.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Descriptor format version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packId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Immutable version/content identity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Windows x64 only unless separately proven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appBuildRange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Exact supported Eve builds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ctranslate2Id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Pinned wheel/build identity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archive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URL, byte count, SHA-256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members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Allowlisted DLLs, sizes, hashes, sources, notices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base app pins one trusted descriptor per compatible GPU pack and verifies the complete archive and every extracted DLL before any native load.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Install attempts are idempotent by pack ID and content hash. Staging is unique; final directories are immutable; concurrent clicks share one attempt.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Bind OS, architecture, Eve build compatibility, CTranslate2 wheel/build identity, CUDA and cuDNN versions, archive hash, and member hashes to the descriptor.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Pack state reports installation integrity. Python runtime diagnostics report actual CUDA usability; neither signal alone promises GPU inference.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Contract sketch: see eve-lean-runtime-architecture.md.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Pin a machine-readable descriptor after the GPU payload is approved.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pack becomes visible only after full validation. A crash before publication leaves CPU or the previous pack usable; repeated install converges on the same content hash. A new app build selects only a compatible pack. Saved requested settings remain durable, while effective device is recalculated at each server start. Do not adopt a healthy server with a mismatched runtime fingerprint.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Repeated install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Reuse same attempt or ready pack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Content-addressed, idempotent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Download or disk error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Retain CPU and previous pack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active-state mutation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Bad archive/member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Reject before any DLL load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Trust pinned archive and member hashes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 version change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Select compatible pack only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Build-bound descriptor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renderer can request installation and read safe status only. Main owns the trusted descriptor, download URL, filesystem paths, extraction, and server environment.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Reject path traversal, links, extra files, wrong architecture, version mismatch, truncation, and hash failure. Never execute a downloaded installer or script; load DLLs only after exact verification.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app-pinned manifest is the trust root; a manifest fetched beside the archive is insufficient. Review NVIDIA redistributable terms and maintain source and notice records.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Default to CPU after any pack error. Do not auto-download, interrupt active recording, clear model caches, or rewrite a saved CUDA preference.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Store the large binary pack in a machine-local Eve directory, separate from roaming settings and private audio or transcripts. Prune obsolete packs only after rollback policy is defined.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smoke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Quick + Long transcription pass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GPU inference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Real short + long on clean NVIDIA host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Pack integrity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All corrupt/version cases rejected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Settings upgrade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CUDA preference and unrelated values preserved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Footprint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Archive, install, model bytes reported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publish only after license review, exact asset allowlist, clean install, upgrade, rollback, and compressed-size evidence.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Two installer editions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Reuses current GPU closure and NSIS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GPU edition retains multi-GB closure; upgrade complexity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only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Smallest and simplest default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Omits requested NVIDIA option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System CUDA 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Avoids downloaded GPU pack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Unreliable prerequisites and support burden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Ship Torch in base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Preserves current 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Dominates measured Python closure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Which exact CUDA/cuDNN DLL set satisfies pinned CTranslate2 4.6.3 on clean Windows NVIDIA hosts, and what is its compressed size?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Can each binary be redistributed under reviewed terms with source and version provenance?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What is the supported upgrade and rollback window for a build-matched pack and an already running server?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What measured archive, installed-directory, startup, and inference budgets should gate promotion?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Adopt the CPU base plus immutable, build-matched GPU pack as the target design. First prove the DLL set, redistribution terms, and real GPU inference; then fix settings resolution and server identity, subtract PyTorch from the release closure, implement verified opt-in installation, and update release controls. Promote only after clean CPU and NVIDIA installer/upgrade tests and measured package results. If the pack proof fails, retain the existing release behavior while revisiting the GPU distribution choice.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Prove GPU DLL set and terms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Real inference; measured and reviewed pack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closure + settings migration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Torch/CUDA in base; CPU tests pass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Pack manager + runtime binding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Failure/upgrade/rollback matrix passes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Release candidate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Installer and GPU tests; measured budgets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Eve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Raw directory bytes are not installer or installed-directory measurements.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