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F5F"/>
          <w:sz w:val="68"/>
        </w:rPr>
        <w:t>TRADING-RESEARCH</w:t>
      </w:r>
    </w:p>
    <w:p>
      <w:pPr>
        <w:jc w:val="center"/>
      </w:pPr>
      <w:r>
        <w:rPr>
          <w:color w:val="20639B"/>
          <w:sz w:val="44"/>
        </w:rPr>
        <w:t>AI-Guided Integration Blueprint</w:t>
      </w:r>
    </w:p>
    <w:p>
      <w:pPr>
        <w:spacing w:before="200"/>
        <w:jc w:val="center"/>
      </w:pPr>
      <w:r>
        <w:rPr>
          <w:color w:val="505A64"/>
          <w:sz w:val="24"/>
        </w:rPr>
        <w:t>Architecture, governance files, phased workflow, and OpenCode implementation prompt</w:t>
      </w:r>
    </w:p>
    <w:p/>
    <w:tbl>
      <w:tblPr>
        <w:tblW w:type="auto" w:w="0"/>
        <w:jc w:val="center"/>
        <w:tblLayout w:type="fixed"/>
        <w:tblLook w:firstColumn="1" w:firstRow="1" w:lastColumn="0" w:lastRow="0" w:noHBand="0" w:noVBand="1" w:val="04A0"/>
      </w:tblPr>
      <w:tblGrid>
        <w:gridCol w:w="9878"/>
      </w:tblGrid>
      <w:tr>
        <w:tc>
          <w:tcPr>
            <w:tcW w:type="dxa" w:w="9360"/>
            <w:shd w:fill="DDEBF7"/>
            <w:tcMar>
              <w:top w:w="160" w:type="dxa"/>
              <w:start w:w="220" w:type="dxa"/>
              <w:bottom w:w="160" w:type="dxa"/>
              <w:end w:w="220" w:type="dxa"/>
            </w:tcMar>
          </w:tcPr>
          <w:p>
            <w:r>
              <w:rPr>
                <w:b/>
                <w:color w:val="144870"/>
              </w:rPr>
              <w:t>Project principle</w:t>
              <w:br/>
            </w:r>
            <w:r>
              <w:t>crypto-etl is the active product. vibe-trading is a read-only pattern library. Integration means selective pattern adoption, not merging codebases.</w:t>
            </w:r>
          </w:p>
        </w:tc>
      </w:tr>
    </w:tbl>
    <w:p>
      <w:pPr>
        <w:spacing w:after="0"/>
      </w:pPr>
    </w:p>
    <w:p>
      <w:pPr>
        <w:spacing w:before="1500"/>
        <w:jc w:val="center"/>
      </w:pPr>
      <w:r>
        <w:rPr>
          <w:color w:val="646464"/>
          <w:sz w:val="20"/>
        </w:rPr>
        <w:t>Prepared from the supplied full project reference</w:t>
        <w:br/>
        <w:t>27 July 2026</w:t>
      </w:r>
    </w:p>
    <w:p>
      <w:r>
        <w:br w:type="page"/>
      </w:r>
    </w:p>
    <w:p>
      <w:pPr>
        <w:pStyle w:val="Heading1"/>
      </w:pPr>
      <w:r>
        <w:t>1. Executive Direction</w:t>
      </w:r>
    </w:p>
    <w:p>
      <w:r>
        <w:t>The project already has a working market-data, research, visualization, and paper-trading foundation. The next objective is not to import Vibe-Trading wholesale. It is to connect the existing components into a traceable research-to-signal-to-paper-trade workflow while protecting the working application from unnecessary architectural expansion.</w:t>
      </w:r>
    </w:p>
    <w:tbl>
      <w:tblPr>
        <w:tblW w:type="auto" w:w="0"/>
        <w:jc w:val="center"/>
        <w:tblLayout w:type="fixed"/>
        <w:tblLook w:firstColumn="1" w:firstRow="1" w:lastColumn="0" w:lastRow="0" w:noHBand="0" w:noVBand="1" w:val="04A0"/>
      </w:tblPr>
      <w:tblGrid>
        <w:gridCol w:w="9878"/>
      </w:tblGrid>
      <w:tr>
        <w:tc>
          <w:tcPr>
            <w:tcW w:type="dxa" w:w="9360"/>
            <w:shd w:fill="D9EAD3"/>
            <w:tcMar>
              <w:top w:w="160" w:type="dxa"/>
              <w:start w:w="220" w:type="dxa"/>
              <w:bottom w:w="160" w:type="dxa"/>
              <w:end w:w="220" w:type="dxa"/>
            </w:tcMar>
          </w:tcPr>
          <w:p>
            <w:r>
              <w:rPr>
                <w:b/>
                <w:color w:val="144870"/>
              </w:rPr>
              <w:t>North-star outcome</w:t>
              <w:br/>
            </w:r>
            <w:r>
              <w:t>One research result produces one reproducible strategy version, which produces traceable chart signals and persistent paper trades.</w:t>
            </w:r>
          </w:p>
        </w:tc>
      </w:tr>
    </w:tbl>
    <w:p>
      <w:pPr>
        <w:spacing w:after="0"/>
      </w:pPr>
    </w:p>
    <w:p>
      <w:pPr>
        <w:pStyle w:val="Heading2"/>
      </w:pPr>
      <w:r>
        <w:t>Operating boundaries</w:t>
      </w:r>
    </w:p>
    <w:p>
      <w:pPr>
        <w:pStyle w:val="ListBullet"/>
      </w:pPr>
      <w:r>
        <w:t>crypto-etl/ is the only active product and the only location for runtime development.</w:t>
      </w:r>
    </w:p>
    <w:p>
      <w:pPr>
        <w:pStyle w:val="ListBullet"/>
      </w:pPr>
      <w:r>
        <w:t>vibe-trading/ remains read-only and must never become a runtime dependency.</w:t>
      </w:r>
    </w:p>
    <w:p>
      <w:pPr>
        <w:pStyle w:val="ListBullet"/>
      </w:pPr>
      <w:r>
        <w:t>Adopt small architectural patterns only when they solve a documented crypto-etl requirement.</w:t>
      </w:r>
    </w:p>
    <w:p>
      <w:pPr>
        <w:pStyle w:val="ListBullet"/>
      </w:pPr>
      <w:r>
        <w:t>Keep the current vanilla JavaScript and Supabase architecture unless an accepted ADR justifies a change.</w:t>
      </w:r>
    </w:p>
    <w:p>
      <w:pPr>
        <w:pStyle w:val="ListBullet"/>
      </w:pPr>
      <w:r>
        <w:t>Research, backtesting, visualization, and paper trading are in scope; live order execution is not.</w:t>
      </w:r>
    </w:p>
    <w:p>
      <w:pPr>
        <w:pStyle w:val="ListBullet"/>
      </w:pPr>
      <w:r>
        <w:t>Do not introduce ML, agents, MCP, or another framework until a deterministic requirement proves the need.</w:t>
      </w:r>
    </w:p>
    <w:p>
      <w:pPr>
        <w:pStyle w:val="Heading2"/>
      </w:pPr>
      <w:r>
        <w:t>Current strengths</w:t>
      </w:r>
    </w:p>
    <w:tbl>
      <w:tblPr>
        <w:tblStyle w:val="TableGrid"/>
        <w:tblW w:type="auto" w:w="0"/>
        <w:jc w:val="center"/>
        <w:tblLook w:firstColumn="1" w:firstRow="1" w:lastColumn="0" w:lastRow="0" w:noHBand="0" w:noVBand="1" w:val="04A0"/>
      </w:tblPr>
      <w:tblGrid>
        <w:gridCol w:w="4939"/>
        <w:gridCol w:w="4939"/>
      </w:tblGrid>
      <w:tr>
        <w:tc>
          <w:tcPr>
            <w:tcW w:type="dxa" w:w="2088"/>
            <w:shd w:fill="173F5F"/>
            <w:tcMar>
              <w:top w:w="100" w:type="dxa"/>
              <w:start w:w="120" w:type="dxa"/>
              <w:bottom w:w="100" w:type="dxa"/>
              <w:end w:w="120" w:type="dxa"/>
            </w:tcMar>
            <w:vAlign w:val="center"/>
          </w:tcPr>
          <w:p>
            <w:pPr>
              <w:jc w:val="center"/>
            </w:pPr>
            <w:r>
              <w:rPr>
                <w:b/>
                <w:color w:val="FFFFFF"/>
                <w:sz w:val="18"/>
              </w:rPr>
              <w:t>Capability</w:t>
            </w:r>
          </w:p>
        </w:tc>
        <w:tc>
          <w:tcPr>
            <w:tcW w:type="dxa" w:w="7056"/>
            <w:shd w:fill="173F5F"/>
            <w:tcMar>
              <w:top w:w="100" w:type="dxa"/>
              <w:start w:w="120" w:type="dxa"/>
              <w:bottom w:w="100" w:type="dxa"/>
              <w:end w:w="120" w:type="dxa"/>
            </w:tcMar>
            <w:vAlign w:val="center"/>
          </w:tcPr>
          <w:p>
            <w:pPr>
              <w:jc w:val="center"/>
            </w:pPr>
            <w:r>
              <w:rPr>
                <w:b/>
                <w:color w:val="FFFFFF"/>
                <w:sz w:val="18"/>
              </w:rPr>
              <w:t>Existing implementation</w:t>
            </w:r>
          </w:p>
        </w:tc>
      </w:tr>
      <w:tr>
        <w:tc>
          <w:tcPr>
            <w:tcW w:type="dxa" w:w="2088"/>
            <w:tcMar>
              <w:top w:w="100" w:type="dxa"/>
              <w:start w:w="120" w:type="dxa"/>
              <w:bottom w:w="100" w:type="dxa"/>
              <w:end w:w="120" w:type="dxa"/>
            </w:tcMar>
            <w:vAlign w:val="center"/>
          </w:tcPr>
          <w:p>
            <w:pPr>
              <w:spacing w:after="0"/>
            </w:pPr>
            <w:r>
              <w:rPr>
                <w:sz w:val="17"/>
              </w:rPr>
              <w:t>Market data</w:t>
            </w:r>
          </w:p>
        </w:tc>
        <w:tc>
          <w:tcPr>
            <w:tcW w:type="dxa" w:w="7056"/>
            <w:tcMar>
              <w:top w:w="100" w:type="dxa"/>
              <w:start w:w="120" w:type="dxa"/>
              <w:bottom w:w="100" w:type="dxa"/>
              <w:end w:w="120" w:type="dxa"/>
            </w:tcMar>
            <w:vAlign w:val="center"/>
          </w:tcPr>
          <w:p>
            <w:pPr>
              <w:spacing w:after="0"/>
            </w:pPr>
            <w:r>
              <w:rPr>
                <w:sz w:val="17"/>
              </w:rPr>
              <w:t>CCXT ingestion, OKX-first fallback, 30 symbols, 1h/4h/1d history</w:t>
            </w:r>
          </w:p>
        </w:tc>
      </w:tr>
      <w:tr>
        <w:tc>
          <w:tcPr>
            <w:tcW w:type="dxa" w:w="2088"/>
            <w:tcMar>
              <w:top w:w="100" w:type="dxa"/>
              <w:start w:w="120" w:type="dxa"/>
              <w:bottom w:w="100" w:type="dxa"/>
              <w:end w:w="120" w:type="dxa"/>
            </w:tcMar>
            <w:vAlign w:val="center"/>
            <w:shd w:fill="F2F6F9"/>
          </w:tcPr>
          <w:p>
            <w:pPr>
              <w:spacing w:after="0"/>
            </w:pPr>
            <w:r>
              <w:rPr>
                <w:sz w:val="17"/>
              </w:rPr>
              <w:t>Storage</w:t>
            </w:r>
          </w:p>
        </w:tc>
        <w:tc>
          <w:tcPr>
            <w:tcW w:type="dxa" w:w="7056"/>
            <w:tcMar>
              <w:top w:w="100" w:type="dxa"/>
              <w:start w:w="120" w:type="dxa"/>
              <w:bottom w:w="100" w:type="dxa"/>
              <w:end w:w="120" w:type="dxa"/>
            </w:tcMar>
            <w:vAlign w:val="center"/>
            <w:shd w:fill="F2F6F9"/>
          </w:tcPr>
          <w:p>
            <w:pPr>
              <w:spacing w:after="0"/>
            </w:pPr>
            <w:r>
              <w:rPr>
                <w:sz w:val="17"/>
              </w:rPr>
              <w:t>Supabase with historical bars, snapshots, research, paper trading, and strategy results</w:t>
            </w:r>
          </w:p>
        </w:tc>
      </w:tr>
      <w:tr>
        <w:tc>
          <w:tcPr>
            <w:tcW w:type="dxa" w:w="2088"/>
            <w:tcMar>
              <w:top w:w="100" w:type="dxa"/>
              <w:start w:w="120" w:type="dxa"/>
              <w:bottom w:w="100" w:type="dxa"/>
              <w:end w:w="120" w:type="dxa"/>
            </w:tcMar>
            <w:vAlign w:val="center"/>
          </w:tcPr>
          <w:p>
            <w:pPr>
              <w:spacing w:after="0"/>
            </w:pPr>
            <w:r>
              <w:rPr>
                <w:sz w:val="17"/>
              </w:rPr>
              <w:t>Research</w:t>
            </w:r>
          </w:p>
        </w:tc>
        <w:tc>
          <w:tcPr>
            <w:tcW w:type="dxa" w:w="7056"/>
            <w:tcMar>
              <w:top w:w="100" w:type="dxa"/>
              <w:start w:w="120" w:type="dxa"/>
              <w:bottom w:w="100" w:type="dxa"/>
              <w:end w:w="120" w:type="dxa"/>
            </w:tcMar>
            <w:vAlign w:val="center"/>
          </w:tcPr>
          <w:p>
            <w:pPr>
              <w:spacing w:after="0"/>
            </w:pPr>
            <w:r>
              <w:rPr>
                <w:sz w:val="17"/>
              </w:rPr>
              <w:t>Eight strategy templates, parameter sweeps, 70/30 walk-forward validation</w:t>
            </w:r>
          </w:p>
        </w:tc>
      </w:tr>
      <w:tr>
        <w:tc>
          <w:tcPr>
            <w:tcW w:type="dxa" w:w="2088"/>
            <w:tcMar>
              <w:top w:w="100" w:type="dxa"/>
              <w:start w:w="120" w:type="dxa"/>
              <w:bottom w:w="100" w:type="dxa"/>
              <w:end w:w="120" w:type="dxa"/>
            </w:tcMar>
            <w:vAlign w:val="center"/>
            <w:shd w:fill="F2F6F9"/>
          </w:tcPr>
          <w:p>
            <w:pPr>
              <w:spacing w:after="0"/>
            </w:pPr>
            <w:r>
              <w:rPr>
                <w:sz w:val="17"/>
              </w:rPr>
              <w:t>Frontend</w:t>
            </w:r>
          </w:p>
        </w:tc>
        <w:tc>
          <w:tcPr>
            <w:tcW w:type="dxa" w:w="7056"/>
            <w:tcMar>
              <w:top w:w="100" w:type="dxa"/>
              <w:start w:w="120" w:type="dxa"/>
              <w:bottom w:w="100" w:type="dxa"/>
              <w:end w:w="120" w:type="dxa"/>
            </w:tcMar>
            <w:vAlign w:val="center"/>
            <w:shd w:fill="F2F6F9"/>
          </w:tcPr>
          <w:p>
            <w:pPr>
              <w:spacing w:after="0"/>
            </w:pPr>
            <w:r>
              <w:rPr>
                <w:sz w:val="17"/>
              </w:rPr>
              <w:t>TradingView Lightweight Charts, indicators, signals, research, and paper trading</w:t>
            </w:r>
          </w:p>
        </w:tc>
      </w:tr>
      <w:tr>
        <w:tc>
          <w:tcPr>
            <w:tcW w:type="dxa" w:w="2088"/>
            <w:tcMar>
              <w:top w:w="100" w:type="dxa"/>
              <w:start w:w="120" w:type="dxa"/>
              <w:bottom w:w="100" w:type="dxa"/>
              <w:end w:w="120" w:type="dxa"/>
            </w:tcMar>
            <w:vAlign w:val="center"/>
          </w:tcPr>
          <w:p>
            <w:pPr>
              <w:spacing w:after="0"/>
            </w:pPr>
            <w:r>
              <w:rPr>
                <w:sz w:val="17"/>
              </w:rPr>
              <w:t>Automation</w:t>
            </w:r>
          </w:p>
        </w:tc>
        <w:tc>
          <w:tcPr>
            <w:tcW w:type="dxa" w:w="7056"/>
            <w:tcMar>
              <w:top w:w="100" w:type="dxa"/>
              <w:start w:w="120" w:type="dxa"/>
              <w:bottom w:w="100" w:type="dxa"/>
              <w:end w:w="120" w:type="dxa"/>
            </w:tcMar>
            <w:vAlign w:val="center"/>
          </w:tcPr>
          <w:p>
            <w:pPr>
              <w:spacing w:after="0"/>
            </w:pPr>
            <w:r>
              <w:rPr>
                <w:sz w:val="17"/>
              </w:rPr>
              <w:t>Scheduled ingestion, weekly research, and GitHub Pages deployment</w:t>
            </w:r>
          </w:p>
        </w:tc>
      </w:tr>
      <w:tr>
        <w:tc>
          <w:tcPr>
            <w:tcW w:type="dxa" w:w="2088"/>
            <w:tcMar>
              <w:top w:w="100" w:type="dxa"/>
              <w:start w:w="120" w:type="dxa"/>
              <w:bottom w:w="100" w:type="dxa"/>
              <w:end w:w="120" w:type="dxa"/>
            </w:tcMar>
            <w:vAlign w:val="center"/>
            <w:shd w:fill="F2F6F9"/>
          </w:tcPr>
          <w:p>
            <w:pPr>
              <w:spacing w:after="0"/>
            </w:pPr>
            <w:r>
              <w:rPr>
                <w:sz w:val="17"/>
              </w:rPr>
              <w:t>Reference library</w:t>
            </w:r>
          </w:p>
        </w:tc>
        <w:tc>
          <w:tcPr>
            <w:tcW w:type="dxa" w:w="7056"/>
            <w:tcMar>
              <w:top w:w="100" w:type="dxa"/>
              <w:start w:w="120" w:type="dxa"/>
              <w:bottom w:w="100" w:type="dxa"/>
              <w:end w:w="120" w:type="dxa"/>
            </w:tcMar>
            <w:vAlign w:val="center"/>
            <w:shd w:fill="F2F6F9"/>
          </w:tcPr>
          <w:p>
            <w:pPr>
              <w:spacing w:after="0"/>
            </w:pPr>
            <w:r>
              <w:rPr>
                <w:sz w:val="17"/>
              </w:rPr>
              <w:t>Vibe-Trading patterns for signals, loaders, attribution, safety, and bias checks</w:t>
            </w:r>
          </w:p>
        </w:tc>
      </w:tr>
    </w:tbl>
    <w:p/>
    <w:p>
      <w:pPr>
        <w:pStyle w:val="Heading1"/>
      </w:pPr>
      <w:r>
        <w:t>2. Target Architecture</w:t>
      </w:r>
    </w:p>
    <w:p>
      <w:pPr>
        <w:pStyle w:val="CodeBlock"/>
        <w:keepLines/>
      </w:pPr>
      <w:r>
        <w:rPr>
          <w:rFonts w:ascii="Consolas" w:hAnsi="Consolas"/>
          <w:color w:val="202830"/>
          <w:sz w:val="16"/>
        </w:rPr>
        <w:t>CCXT market data</w:t>
        <w:br/>
        <w:t xml:space="preserve">    -&gt; Historical ETL and validation</w:t>
        <w:br/>
        <w:t xml:space="preserve">    -&gt; Supabase crypto_historical</w:t>
        <w:br/>
        <w:t xml:space="preserve">    -&gt; Strategy research and walk-forward evaluation</w:t>
        <w:br/>
        <w:t xml:space="preserve">    -&gt; Strategy candidate and approval lifecycle</w:t>
        <w:br/>
        <w:t xml:space="preserve">    -&gt; Versioned strategy registry</w:t>
        <w:br/>
        <w:t xml:space="preserve">    -&gt; Signal generation</w:t>
        <w:br/>
        <w:t xml:space="preserve">    -&gt; Paper-trading execution and accounting</w:t>
        <w:br/>
        <w:t xml:space="preserve">    -&gt; Supabase signals, orders, positions, and equity</w:t>
        <w:br/>
        <w:t xml:space="preserve">    -&gt; Frontend chart markers, evidence, and performance</w:t>
      </w:r>
    </w:p>
    <w:p>
      <w:pPr>
        <w:pStyle w:val="Heading2"/>
      </w:pPr>
      <w:r>
        <w:t>Traceability requirement</w:t>
      </w:r>
    </w:p>
    <w:p>
      <w:r>
        <w:t>Every visible BUY or SELL marker must be traceable back to its evidence. The minimum chain is:</w:t>
      </w:r>
    </w:p>
    <w:p>
      <w:pPr>
        <w:pStyle w:val="CodeBlock"/>
        <w:keepLines/>
      </w:pPr>
      <w:r>
        <w:rPr>
          <w:rFonts w:ascii="Consolas" w:hAnsi="Consolas"/>
          <w:color w:val="202830"/>
          <w:sz w:val="16"/>
        </w:rPr>
        <w:t>chart marker</w:t>
        <w:br/>
        <w:t xml:space="preserve">  -&gt; signal_id</w:t>
        <w:br/>
        <w:t xml:space="preserve">  -&gt; symbol + timeframe + candle timestamp</w:t>
        <w:br/>
        <w:t xml:space="preserve">  -&gt; strategy_id + strategy_version + parameters</w:t>
        <w:br/>
        <w:t xml:space="preserve">  -&gt; research_run_id + out-of-sample metrics</w:t>
        <w:br/>
        <w:t xml:space="preserve">  -&gt; reason codes</w:t>
        <w:br/>
        <w:t xml:space="preserve">  -&gt; paper_order_id, when an order is created</w:t>
      </w:r>
    </w:p>
    <w:p>
      <w:pPr>
        <w:pStyle w:val="Heading2"/>
      </w:pPr>
      <w:r>
        <w:t>Pattern-adoption rule</w:t>
      </w:r>
    </w:p>
    <w:tbl>
      <w:tblPr>
        <w:tblStyle w:val="TableGrid"/>
        <w:tblW w:type="auto" w:w="0"/>
        <w:jc w:val="center"/>
        <w:tblLook w:firstColumn="1" w:firstRow="1" w:lastColumn="0" w:lastRow="0" w:noHBand="0" w:noVBand="1" w:val="04A0"/>
      </w:tblPr>
      <w:tblGrid>
        <w:gridCol w:w="4939"/>
        <w:gridCol w:w="4939"/>
      </w:tblGrid>
      <w:tr>
        <w:tc>
          <w:tcPr>
            <w:tcW w:type="dxa" w:w="2376"/>
            <w:shd w:fill="173F5F"/>
            <w:tcMar>
              <w:top w:w="100" w:type="dxa"/>
              <w:start w:w="120" w:type="dxa"/>
              <w:bottom w:w="100" w:type="dxa"/>
              <w:end w:w="120" w:type="dxa"/>
            </w:tcMar>
            <w:vAlign w:val="center"/>
          </w:tcPr>
          <w:p>
            <w:pPr>
              <w:jc w:val="center"/>
            </w:pPr>
            <w:r>
              <w:rPr>
                <w:b/>
                <w:color w:val="FFFFFF"/>
                <w:sz w:val="18"/>
              </w:rPr>
              <w:t>Reference pattern</w:t>
            </w:r>
          </w:p>
        </w:tc>
        <w:tc>
          <w:tcPr>
            <w:tcW w:type="dxa" w:w="6768"/>
            <w:shd w:fill="173F5F"/>
            <w:tcMar>
              <w:top w:w="100" w:type="dxa"/>
              <w:start w:w="120" w:type="dxa"/>
              <w:bottom w:w="100" w:type="dxa"/>
              <w:end w:w="120" w:type="dxa"/>
            </w:tcMar>
            <w:vAlign w:val="center"/>
          </w:tcPr>
          <w:p>
            <w:pPr>
              <w:jc w:val="center"/>
            </w:pPr>
            <w:r>
              <w:rPr>
                <w:b/>
                <w:color w:val="FFFFFF"/>
                <w:sz w:val="18"/>
              </w:rPr>
              <w:t>Local decision</w:t>
            </w:r>
          </w:p>
        </w:tc>
      </w:tr>
      <w:tr>
        <w:tc>
          <w:tcPr>
            <w:tcW w:type="dxa" w:w="2376"/>
            <w:tcMar>
              <w:top w:w="100" w:type="dxa"/>
              <w:start w:w="120" w:type="dxa"/>
              <w:bottom w:w="100" w:type="dxa"/>
              <w:end w:w="120" w:type="dxa"/>
            </w:tcMar>
            <w:vAlign w:val="center"/>
          </w:tcPr>
          <w:p>
            <w:pPr>
              <w:spacing w:after="0"/>
            </w:pPr>
            <w:r>
              <w:rPr>
                <w:sz w:val="17"/>
              </w:rPr>
              <w:t>SignalEngine contract</w:t>
            </w:r>
          </w:p>
        </w:tc>
        <w:tc>
          <w:tcPr>
            <w:tcW w:type="dxa" w:w="6768"/>
            <w:tcMar>
              <w:top w:w="100" w:type="dxa"/>
              <w:start w:w="120" w:type="dxa"/>
              <w:bottom w:w="100" w:type="dxa"/>
              <w:end w:w="120" w:type="dxa"/>
            </w:tcMar>
            <w:vAlign w:val="center"/>
          </w:tcPr>
          <w:p>
            <w:pPr>
              <w:spacing w:after="0"/>
            </w:pPr>
            <w:r>
              <w:rPr>
                <w:sz w:val="17"/>
              </w:rPr>
              <w:t>Adopt the interface concept; implement independently with traceability metadata.</w:t>
            </w:r>
          </w:p>
        </w:tc>
      </w:tr>
      <w:tr>
        <w:tc>
          <w:tcPr>
            <w:tcW w:type="dxa" w:w="2376"/>
            <w:tcMar>
              <w:top w:w="100" w:type="dxa"/>
              <w:start w:w="120" w:type="dxa"/>
              <w:bottom w:w="100" w:type="dxa"/>
              <w:end w:w="120" w:type="dxa"/>
            </w:tcMar>
            <w:vAlign w:val="center"/>
            <w:shd w:fill="F2F6F9"/>
          </w:tcPr>
          <w:p>
            <w:pPr>
              <w:spacing w:after="0"/>
            </w:pPr>
            <w:r>
              <w:rPr>
                <w:sz w:val="17"/>
              </w:rPr>
              <w:t>Loader fallback registry</w:t>
            </w:r>
          </w:p>
        </w:tc>
        <w:tc>
          <w:tcPr>
            <w:tcW w:type="dxa" w:w="6768"/>
            <w:tcMar>
              <w:top w:w="100" w:type="dxa"/>
              <w:start w:w="120" w:type="dxa"/>
              <w:bottom w:w="100" w:type="dxa"/>
              <w:end w:w="120" w:type="dxa"/>
            </w:tcMar>
            <w:vAlign w:val="center"/>
            <w:shd w:fill="F2F6F9"/>
          </w:tcPr>
          <w:p>
            <w:pPr>
              <w:spacing w:after="0"/>
            </w:pPr>
            <w:r>
              <w:rPr>
                <w:sz w:val="17"/>
              </w:rPr>
              <w:t>Adopt for ETL source resilience only; retain CCXT and current exchange priorities.</w:t>
            </w:r>
          </w:p>
        </w:tc>
      </w:tr>
      <w:tr>
        <w:tc>
          <w:tcPr>
            <w:tcW w:type="dxa" w:w="2376"/>
            <w:tcMar>
              <w:top w:w="100" w:type="dxa"/>
              <w:start w:w="120" w:type="dxa"/>
              <w:bottom w:w="100" w:type="dxa"/>
              <w:end w:w="120" w:type="dxa"/>
            </w:tcMar>
            <w:vAlign w:val="center"/>
          </w:tcPr>
          <w:p>
            <w:pPr>
              <w:spacing w:after="0"/>
            </w:pPr>
            <w:r>
              <w:rPr>
                <w:sz w:val="17"/>
              </w:rPr>
              <w:t>Config-driven backtests</w:t>
            </w:r>
          </w:p>
        </w:tc>
        <w:tc>
          <w:tcPr>
            <w:tcW w:type="dxa" w:w="6768"/>
            <w:tcMar>
              <w:top w:w="100" w:type="dxa"/>
              <w:start w:w="120" w:type="dxa"/>
              <w:bottom w:w="100" w:type="dxa"/>
              <w:end w:w="120" w:type="dxa"/>
            </w:tcMar>
            <w:vAlign w:val="center"/>
          </w:tcPr>
          <w:p>
            <w:pPr>
              <w:spacing w:after="0"/>
            </w:pPr>
            <w:r>
              <w:rPr>
                <w:sz w:val="17"/>
              </w:rPr>
              <w:t>Adopt gradually so experiments become reproducible and versionable.</w:t>
            </w:r>
          </w:p>
        </w:tc>
      </w:tr>
      <w:tr>
        <w:tc>
          <w:tcPr>
            <w:tcW w:type="dxa" w:w="2376"/>
            <w:tcMar>
              <w:top w:w="100" w:type="dxa"/>
              <w:start w:w="120" w:type="dxa"/>
              <w:bottom w:w="100" w:type="dxa"/>
              <w:end w:w="120" w:type="dxa"/>
            </w:tcMar>
            <w:vAlign w:val="center"/>
            <w:shd w:fill="F2F6F9"/>
          </w:tcPr>
          <w:p>
            <w:pPr>
              <w:spacing w:after="0"/>
            </w:pPr>
            <w:r>
              <w:rPr>
                <w:sz w:val="17"/>
              </w:rPr>
              <w:t>Attribution layers</w:t>
            </w:r>
          </w:p>
        </w:tc>
        <w:tc>
          <w:tcPr>
            <w:tcW w:type="dxa" w:w="6768"/>
            <w:tcMar>
              <w:top w:w="100" w:type="dxa"/>
              <w:start w:w="120" w:type="dxa"/>
              <w:bottom w:w="100" w:type="dxa"/>
              <w:end w:w="120" w:type="dxa"/>
            </w:tcMar>
            <w:vAlign w:val="center"/>
            <w:shd w:fill="F2F6F9"/>
          </w:tcPr>
          <w:p>
            <w:pPr>
              <w:spacing w:after="0"/>
            </w:pPr>
            <w:r>
              <w:rPr>
                <w:sz w:val="17"/>
              </w:rPr>
              <w:t>Defer until the first research-to-chart vertical slice works.</w:t>
            </w:r>
          </w:p>
        </w:tc>
      </w:tr>
      <w:tr>
        <w:tc>
          <w:tcPr>
            <w:tcW w:type="dxa" w:w="2376"/>
            <w:tcMar>
              <w:top w:w="100" w:type="dxa"/>
              <w:start w:w="120" w:type="dxa"/>
              <w:bottom w:w="100" w:type="dxa"/>
              <w:end w:w="120" w:type="dxa"/>
            </w:tcMar>
            <w:vAlign w:val="center"/>
          </w:tcPr>
          <w:p>
            <w:pPr>
              <w:spacing w:after="0"/>
            </w:pPr>
            <w:r>
              <w:rPr>
                <w:sz w:val="17"/>
              </w:rPr>
              <w:t>Bias self-checks</w:t>
            </w:r>
          </w:p>
        </w:tc>
        <w:tc>
          <w:tcPr>
            <w:tcW w:type="dxa" w:w="6768"/>
            <w:tcMar>
              <w:top w:w="100" w:type="dxa"/>
              <w:start w:w="120" w:type="dxa"/>
              <w:bottom w:w="100" w:type="dxa"/>
              <w:end w:w="120" w:type="dxa"/>
            </w:tcMar>
            <w:vAlign w:val="center"/>
          </w:tcPr>
          <w:p>
            <w:pPr>
              <w:spacing w:after="0"/>
            </w:pPr>
            <w:r>
              <w:rPr>
                <w:sz w:val="17"/>
              </w:rPr>
              <w:t>Adopt as a research checklist, not as runtime agent complexity.</w:t>
            </w:r>
          </w:p>
        </w:tc>
      </w:tr>
      <w:tr>
        <w:tc>
          <w:tcPr>
            <w:tcW w:type="dxa" w:w="2376"/>
            <w:tcMar>
              <w:top w:w="100" w:type="dxa"/>
              <w:start w:w="120" w:type="dxa"/>
              <w:bottom w:w="100" w:type="dxa"/>
              <w:end w:w="120" w:type="dxa"/>
            </w:tcMar>
            <w:vAlign w:val="center"/>
            <w:shd w:fill="F2F6F9"/>
          </w:tcPr>
          <w:p>
            <w:pPr>
              <w:spacing w:after="0"/>
            </w:pPr>
            <w:r>
              <w:rPr>
                <w:sz w:val="17"/>
              </w:rPr>
              <w:t>MCP and multi-agent orchestration</w:t>
            </w:r>
          </w:p>
        </w:tc>
        <w:tc>
          <w:tcPr>
            <w:tcW w:type="dxa" w:w="6768"/>
            <w:tcMar>
              <w:top w:w="100" w:type="dxa"/>
              <w:start w:w="120" w:type="dxa"/>
              <w:bottom w:w="100" w:type="dxa"/>
              <w:end w:w="120" w:type="dxa"/>
            </w:tcMar>
            <w:vAlign w:val="center"/>
            <w:shd w:fill="F2F6F9"/>
          </w:tcPr>
          <w:p>
            <w:pPr>
              <w:spacing w:after="0"/>
            </w:pPr>
            <w:r>
              <w:rPr>
                <w:sz w:val="17"/>
              </w:rPr>
              <w:t>Reject for the current milestones; no demonstrated need.</w:t>
            </w:r>
          </w:p>
        </w:tc>
      </w:tr>
    </w:tbl>
    <w:p/>
    <w:p>
      <w:pPr>
        <w:pStyle w:val="Heading1"/>
      </w:pPr>
      <w:r>
        <w:t>3. Recommended Repository Organization</w:t>
      </w:r>
    </w:p>
    <w:p>
      <w:pPr>
        <w:pStyle w:val="CodeBlock"/>
        <w:keepLines/>
      </w:pPr>
      <w:r>
        <w:rPr>
          <w:rFonts w:ascii="Consolas" w:hAnsi="Consolas"/>
          <w:color w:val="202830"/>
          <w:sz w:val="16"/>
        </w:rPr>
        <w:t>trading-research/</w:t>
        <w:br/>
        <w:t>|-- README.md</w:t>
        <w:br/>
        <w:t>|-- CLAUDE.md</w:t>
        <w:br/>
        <w:t>|-- AGENTS.md</w:t>
        <w:br/>
        <w:t>|-- PROJECT_STATUS.md</w:t>
        <w:br/>
        <w:t>|-- ROADMAP.md</w:t>
        <w:br/>
        <w:t>|-- .ai/</w:t>
        <w:br/>
        <w:t>|   |-- scope.md</w:t>
        <w:br/>
        <w:t>|   |-- current-milestone.md</w:t>
        <w:br/>
        <w:t>|   |-- reference-policy.md</w:t>
        <w:br/>
        <w:t>|   |-- financial-safety.md</w:t>
        <w:br/>
        <w:t>|   |-- prohibited-actions.md</w:t>
        <w:br/>
        <w:t>|   `-- definition-of-done.md</w:t>
        <w:br/>
        <w:t>|-- docs/</w:t>
        <w:br/>
        <w:t>|   |-- architecture/</w:t>
        <w:br/>
        <w:t>|   |-- decisions/</w:t>
        <w:br/>
        <w:t>|   |-- data-contracts/</w:t>
        <w:br/>
        <w:t>|   |-- research/</w:t>
        <w:br/>
        <w:t>|   |-- reference-adoption/</w:t>
        <w:br/>
        <w:t>|   |-- security/</w:t>
        <w:br/>
        <w:t>|   `-- operations/</w:t>
        <w:br/>
        <w:t>|-- crypto-etl/        # active product</w:t>
        <w:br/>
        <w:t>`-- vibe-trading/      # read-only reference</w:t>
      </w:r>
    </w:p>
    <w:p>
      <w:r>
        <w:t>Governance may live at the monorepo root because it controls both directories. Product-specific architecture and contracts may live under crypto-etl/docs/. Avoid duplicating the same rule in multiple files; CLAUDE.md and AGENTS.md should link to the detailed files.</w:t>
      </w:r>
    </w:p>
    <w:p>
      <w:pPr>
        <w:pStyle w:val="Heading2"/>
      </w:pPr>
      <w:r>
        <w:t>Gradual frontend modularization</w:t>
      </w:r>
    </w:p>
    <w:p>
      <w:pPr>
        <w:pStyle w:val="CodeBlock"/>
        <w:keepLines/>
      </w:pPr>
      <w:r>
        <w:rPr>
          <w:rFonts w:ascii="Consolas" w:hAnsi="Consolas"/>
          <w:color w:val="202830"/>
          <w:sz w:val="16"/>
        </w:rPr>
        <w:t>crypto-etl/js/</w:t>
        <w:br/>
        <w:t>|-- app.js</w:t>
        <w:br/>
        <w:t>|-- config.js</w:t>
        <w:br/>
        <w:t>|-- state.js</w:t>
        <w:br/>
        <w:t>|-- data/</w:t>
        <w:br/>
        <w:t>|-- charts/</w:t>
        <w:br/>
        <w:t>|-- indicators/</w:t>
        <w:br/>
        <w:t>|-- strategies/</w:t>
        <w:br/>
        <w:t>|-- paper-trading/</w:t>
        <w:br/>
        <w:t>`-- ui/</w:t>
      </w:r>
    </w:p>
    <w:tbl>
      <w:tblPr>
        <w:tblW w:type="auto" w:w="0"/>
        <w:jc w:val="center"/>
        <w:tblLayout w:type="fixed"/>
        <w:tblLook w:firstColumn="1" w:firstRow="1" w:lastColumn="0" w:lastRow="0" w:noHBand="0" w:noVBand="1" w:val="04A0"/>
      </w:tblPr>
      <w:tblGrid>
        <w:gridCol w:w="9878"/>
      </w:tblGrid>
      <w:tr>
        <w:tc>
          <w:tcPr>
            <w:tcW w:type="dxa" w:w="9360"/>
            <w:shd w:fill="FFF2CC"/>
            <w:tcMar>
              <w:top w:w="160" w:type="dxa"/>
              <w:start w:w="220" w:type="dxa"/>
              <w:bottom w:w="160" w:type="dxa"/>
              <w:end w:w="220" w:type="dxa"/>
            </w:tcMar>
          </w:tcPr>
          <w:p>
            <w:r>
              <w:rPr>
                <w:b/>
                <w:color w:val="144870"/>
              </w:rPr>
              <w:t>Do not rewrite index.html in one task</w:t>
              <w:br/>
            </w:r>
            <w:r>
              <w:t>Extract one responsibility at a time, verify behavioral parity, and commit each safe step. Start with signal generation or Supabase access.</w:t>
            </w:r>
          </w:p>
        </w:tc>
      </w:tr>
    </w:tbl>
    <w:p>
      <w:pPr>
        <w:spacing w:after="0"/>
      </w:pPr>
    </w:p>
    <w:p>
      <w:pPr>
        <w:pStyle w:val="Heading1"/>
      </w:pPr>
      <w:r>
        <w:t>4. Governance File Set</w:t>
      </w:r>
    </w:p>
    <w:tbl>
      <w:tblPr>
        <w:tblStyle w:val="TableGrid"/>
        <w:tblW w:type="auto" w:w="0"/>
        <w:jc w:val="center"/>
        <w:tblLook w:firstColumn="1" w:firstRow="1" w:lastColumn="0" w:lastRow="0" w:noHBand="0" w:noVBand="1" w:val="04A0"/>
      </w:tblPr>
      <w:tblGrid>
        <w:gridCol w:w="4939"/>
        <w:gridCol w:w="4939"/>
      </w:tblGrid>
      <w:tr>
        <w:tc>
          <w:tcPr>
            <w:tcW w:type="dxa" w:w="2520"/>
            <w:shd w:fill="173F5F"/>
            <w:tcMar>
              <w:top w:w="100" w:type="dxa"/>
              <w:start w:w="120" w:type="dxa"/>
              <w:bottom w:w="100" w:type="dxa"/>
              <w:end w:w="120" w:type="dxa"/>
            </w:tcMar>
            <w:vAlign w:val="center"/>
          </w:tcPr>
          <w:p>
            <w:pPr>
              <w:jc w:val="center"/>
            </w:pPr>
            <w:r>
              <w:rPr>
                <w:b/>
                <w:color w:val="FFFFFF"/>
                <w:sz w:val="18"/>
              </w:rPr>
              <w:t>File</w:t>
            </w:r>
          </w:p>
        </w:tc>
        <w:tc>
          <w:tcPr>
            <w:tcW w:type="dxa" w:w="6624"/>
            <w:shd w:fill="173F5F"/>
            <w:tcMar>
              <w:top w:w="100" w:type="dxa"/>
              <w:start w:w="120" w:type="dxa"/>
              <w:bottom w:w="100" w:type="dxa"/>
              <w:end w:w="120" w:type="dxa"/>
            </w:tcMar>
            <w:vAlign w:val="center"/>
          </w:tcPr>
          <w:p>
            <w:pPr>
              <w:jc w:val="center"/>
            </w:pPr>
            <w:r>
              <w:rPr>
                <w:b/>
                <w:color w:val="FFFFFF"/>
                <w:sz w:val="18"/>
              </w:rPr>
              <w:t>Purpose</w:t>
            </w:r>
          </w:p>
        </w:tc>
      </w:tr>
      <w:tr>
        <w:tc>
          <w:tcPr>
            <w:tcW w:type="dxa" w:w="2520"/>
            <w:tcMar>
              <w:top w:w="100" w:type="dxa"/>
              <w:start w:w="120" w:type="dxa"/>
              <w:bottom w:w="100" w:type="dxa"/>
              <w:end w:w="120" w:type="dxa"/>
            </w:tcMar>
            <w:vAlign w:val="center"/>
          </w:tcPr>
          <w:p>
            <w:pPr>
              <w:spacing w:after="0"/>
            </w:pPr>
            <w:r>
              <w:rPr>
                <w:sz w:val="17"/>
              </w:rPr>
              <w:t>CLAUDE.md</w:t>
            </w:r>
          </w:p>
        </w:tc>
        <w:tc>
          <w:tcPr>
            <w:tcW w:type="dxa" w:w="6624"/>
            <w:tcMar>
              <w:top w:w="100" w:type="dxa"/>
              <w:start w:w="120" w:type="dxa"/>
              <w:bottom w:w="100" w:type="dxa"/>
              <w:end w:w="120" w:type="dxa"/>
            </w:tcMar>
            <w:vAlign w:val="center"/>
          </w:tcPr>
          <w:p>
            <w:pPr>
              <w:spacing w:after="0"/>
            </w:pPr>
            <w:r>
              <w:rPr>
                <w:sz w:val="17"/>
              </w:rPr>
              <w:t>Short entry point, required reading order, architecture boundaries, and workflow.</w:t>
            </w:r>
          </w:p>
        </w:tc>
      </w:tr>
      <w:tr>
        <w:tc>
          <w:tcPr>
            <w:tcW w:type="dxa" w:w="2520"/>
            <w:tcMar>
              <w:top w:w="100" w:type="dxa"/>
              <w:start w:w="120" w:type="dxa"/>
              <w:bottom w:w="100" w:type="dxa"/>
              <w:end w:w="120" w:type="dxa"/>
            </w:tcMar>
            <w:vAlign w:val="center"/>
            <w:shd w:fill="F2F6F9"/>
          </w:tcPr>
          <w:p>
            <w:pPr>
              <w:spacing w:after="0"/>
            </w:pPr>
            <w:r>
              <w:rPr>
                <w:sz w:val="17"/>
              </w:rPr>
              <w:t>AGENTS.md</w:t>
            </w:r>
          </w:p>
        </w:tc>
        <w:tc>
          <w:tcPr>
            <w:tcW w:type="dxa" w:w="6624"/>
            <w:tcMar>
              <w:top w:w="100" w:type="dxa"/>
              <w:start w:w="120" w:type="dxa"/>
              <w:bottom w:w="100" w:type="dxa"/>
              <w:end w:w="120" w:type="dxa"/>
            </w:tcMar>
            <w:vAlign w:val="center"/>
            <w:shd w:fill="F2F6F9"/>
          </w:tcPr>
          <w:p>
            <w:pPr>
              <w:spacing w:after="0"/>
            </w:pPr>
            <w:r>
              <w:rPr>
                <w:sz w:val="17"/>
              </w:rPr>
              <w:t>Operational commands, conventions, pitfalls, and agent behavior.</w:t>
            </w:r>
          </w:p>
        </w:tc>
      </w:tr>
      <w:tr>
        <w:tc>
          <w:tcPr>
            <w:tcW w:type="dxa" w:w="2520"/>
            <w:tcMar>
              <w:top w:w="100" w:type="dxa"/>
              <w:start w:w="120" w:type="dxa"/>
              <w:bottom w:w="100" w:type="dxa"/>
              <w:end w:w="120" w:type="dxa"/>
            </w:tcMar>
            <w:vAlign w:val="center"/>
          </w:tcPr>
          <w:p>
            <w:pPr>
              <w:spacing w:after="0"/>
            </w:pPr>
            <w:r>
              <w:rPr>
                <w:sz w:val="17"/>
              </w:rPr>
              <w:t>.ai/current-milestone.md</w:t>
            </w:r>
          </w:p>
        </w:tc>
        <w:tc>
          <w:tcPr>
            <w:tcW w:type="dxa" w:w="6624"/>
            <w:tcMar>
              <w:top w:w="100" w:type="dxa"/>
              <w:start w:w="120" w:type="dxa"/>
              <w:bottom w:w="100" w:type="dxa"/>
              <w:end w:w="120" w:type="dxa"/>
            </w:tcMar>
            <w:vAlign w:val="center"/>
          </w:tcPr>
          <w:p>
            <w:pPr>
              <w:spacing w:after="0"/>
            </w:pPr>
            <w:r>
              <w:rPr>
                <w:sz w:val="17"/>
              </w:rPr>
              <w:t>Exactly one active outcome and explicit exclusions. Primary anti-drift control.</w:t>
            </w:r>
          </w:p>
        </w:tc>
      </w:tr>
      <w:tr>
        <w:tc>
          <w:tcPr>
            <w:tcW w:type="dxa" w:w="2520"/>
            <w:tcMar>
              <w:top w:w="100" w:type="dxa"/>
              <w:start w:w="120" w:type="dxa"/>
              <w:bottom w:w="100" w:type="dxa"/>
              <w:end w:w="120" w:type="dxa"/>
            </w:tcMar>
            <w:vAlign w:val="center"/>
            <w:shd w:fill="F2F6F9"/>
          </w:tcPr>
          <w:p>
            <w:pPr>
              <w:spacing w:after="0"/>
            </w:pPr>
            <w:r>
              <w:rPr>
                <w:sz w:val="17"/>
              </w:rPr>
              <w:t>.ai/reference-policy.md</w:t>
            </w:r>
          </w:p>
        </w:tc>
        <w:tc>
          <w:tcPr>
            <w:tcW w:type="dxa" w:w="6624"/>
            <w:tcMar>
              <w:top w:w="100" w:type="dxa"/>
              <w:start w:w="120" w:type="dxa"/>
              <w:bottom w:w="100" w:type="dxa"/>
              <w:end w:w="120" w:type="dxa"/>
            </w:tcMar>
            <w:vAlign w:val="center"/>
            <w:shd w:fill="F2F6F9"/>
          </w:tcPr>
          <w:p>
            <w:pPr>
              <w:spacing w:after="0"/>
            </w:pPr>
            <w:r>
              <w:rPr>
                <w:sz w:val="17"/>
              </w:rPr>
              <w:t>Permitted and prohibited use of vibe-trading.</w:t>
            </w:r>
          </w:p>
        </w:tc>
      </w:tr>
      <w:tr>
        <w:tc>
          <w:tcPr>
            <w:tcW w:type="dxa" w:w="2520"/>
            <w:tcMar>
              <w:top w:w="100" w:type="dxa"/>
              <w:start w:w="120" w:type="dxa"/>
              <w:bottom w:w="100" w:type="dxa"/>
              <w:end w:w="120" w:type="dxa"/>
            </w:tcMar>
            <w:vAlign w:val="center"/>
          </w:tcPr>
          <w:p>
            <w:pPr>
              <w:spacing w:after="0"/>
            </w:pPr>
            <w:r>
              <w:rPr>
                <w:sz w:val="17"/>
              </w:rPr>
              <w:t>.ai/prohibited-actions.md</w:t>
            </w:r>
          </w:p>
        </w:tc>
        <w:tc>
          <w:tcPr>
            <w:tcW w:type="dxa" w:w="6624"/>
            <w:tcMar>
              <w:top w:w="100" w:type="dxa"/>
              <w:start w:w="120" w:type="dxa"/>
              <w:bottom w:w="100" w:type="dxa"/>
              <w:end w:w="120" w:type="dxa"/>
            </w:tcMar>
            <w:vAlign w:val="center"/>
          </w:tcPr>
          <w:p>
            <w:pPr>
              <w:spacing w:after="0"/>
            </w:pPr>
            <w:r>
              <w:rPr>
                <w:sz w:val="17"/>
              </w:rPr>
              <w:t>Hard stops: no live trading, rewrites, hidden credentials, or fabricated validation.</w:t>
            </w:r>
          </w:p>
        </w:tc>
      </w:tr>
      <w:tr>
        <w:tc>
          <w:tcPr>
            <w:tcW w:type="dxa" w:w="2520"/>
            <w:tcMar>
              <w:top w:w="100" w:type="dxa"/>
              <w:start w:w="120" w:type="dxa"/>
              <w:bottom w:w="100" w:type="dxa"/>
              <w:end w:w="120" w:type="dxa"/>
            </w:tcMar>
            <w:vAlign w:val="center"/>
            <w:shd w:fill="F2F6F9"/>
          </w:tcPr>
          <w:p>
            <w:pPr>
              <w:spacing w:after="0"/>
            </w:pPr>
            <w:r>
              <w:rPr>
                <w:sz w:val="17"/>
              </w:rPr>
              <w:t>PROJECT_STATUS.md</w:t>
            </w:r>
          </w:p>
        </w:tc>
        <w:tc>
          <w:tcPr>
            <w:tcW w:type="dxa" w:w="6624"/>
            <w:tcMar>
              <w:top w:w="100" w:type="dxa"/>
              <w:start w:w="120" w:type="dxa"/>
              <w:bottom w:w="100" w:type="dxa"/>
              <w:end w:w="120" w:type="dxa"/>
            </w:tcMar>
            <w:vAlign w:val="center"/>
            <w:shd w:fill="F2F6F9"/>
          </w:tcPr>
          <w:p>
            <w:pPr>
              <w:spacing w:after="0"/>
            </w:pPr>
            <w:r>
              <w:rPr>
                <w:sz w:val="17"/>
              </w:rPr>
              <w:t>Working, partial, blocked, next, and last verified state.</w:t>
            </w:r>
          </w:p>
        </w:tc>
      </w:tr>
      <w:tr>
        <w:tc>
          <w:tcPr>
            <w:tcW w:type="dxa" w:w="2520"/>
            <w:tcMar>
              <w:top w:w="100" w:type="dxa"/>
              <w:start w:w="120" w:type="dxa"/>
              <w:bottom w:w="100" w:type="dxa"/>
              <w:end w:w="120" w:type="dxa"/>
            </w:tcMar>
            <w:vAlign w:val="center"/>
          </w:tcPr>
          <w:p>
            <w:pPr>
              <w:spacing w:after="0"/>
            </w:pPr>
            <w:r>
              <w:rPr>
                <w:sz w:val="17"/>
              </w:rPr>
              <w:t>ROADMAP.md</w:t>
            </w:r>
          </w:p>
        </w:tc>
        <w:tc>
          <w:tcPr>
            <w:tcW w:type="dxa" w:w="6624"/>
            <w:tcMar>
              <w:top w:w="100" w:type="dxa"/>
              <w:start w:w="120" w:type="dxa"/>
              <w:bottom w:w="100" w:type="dxa"/>
              <w:end w:w="120" w:type="dxa"/>
            </w:tcMar>
            <w:vAlign w:val="center"/>
          </w:tcPr>
          <w:p>
            <w:pPr>
              <w:spacing w:after="0"/>
            </w:pPr>
            <w:r>
              <w:rPr>
                <w:sz w:val="17"/>
              </w:rPr>
              <w:t>Ordered milestones; not a wish list of unrelated features.</w:t>
            </w:r>
          </w:p>
        </w:tc>
      </w:tr>
      <w:tr>
        <w:tc>
          <w:tcPr>
            <w:tcW w:type="dxa" w:w="2520"/>
            <w:tcMar>
              <w:top w:w="100" w:type="dxa"/>
              <w:start w:w="120" w:type="dxa"/>
              <w:bottom w:w="100" w:type="dxa"/>
              <w:end w:w="120" w:type="dxa"/>
            </w:tcMar>
            <w:vAlign w:val="center"/>
            <w:shd w:fill="F2F6F9"/>
          </w:tcPr>
          <w:p>
            <w:pPr>
              <w:spacing w:after="0"/>
            </w:pPr>
            <w:r>
              <w:rPr>
                <w:sz w:val="17"/>
              </w:rPr>
              <w:t>docs/decisions/ADR-*.md</w:t>
            </w:r>
          </w:p>
        </w:tc>
        <w:tc>
          <w:tcPr>
            <w:tcW w:type="dxa" w:w="6624"/>
            <w:tcMar>
              <w:top w:w="100" w:type="dxa"/>
              <w:start w:w="120" w:type="dxa"/>
              <w:bottom w:w="100" w:type="dxa"/>
              <w:end w:w="120" w:type="dxa"/>
            </w:tcMar>
            <w:vAlign w:val="center"/>
            <w:shd w:fill="F2F6F9"/>
          </w:tcPr>
          <w:p>
            <w:pPr>
              <w:spacing w:after="0"/>
            </w:pPr>
            <w:r>
              <w:rPr>
                <w:sz w:val="17"/>
              </w:rPr>
              <w:t>Why major architectural choices were made.</w:t>
            </w:r>
          </w:p>
        </w:tc>
      </w:tr>
      <w:tr>
        <w:tc>
          <w:tcPr>
            <w:tcW w:type="dxa" w:w="2520"/>
            <w:tcMar>
              <w:top w:w="100" w:type="dxa"/>
              <w:start w:w="120" w:type="dxa"/>
              <w:bottom w:w="100" w:type="dxa"/>
              <w:end w:w="120" w:type="dxa"/>
            </w:tcMar>
            <w:vAlign w:val="center"/>
          </w:tcPr>
          <w:p>
            <w:pPr>
              <w:spacing w:after="0"/>
            </w:pPr>
            <w:r>
              <w:rPr>
                <w:sz w:val="17"/>
              </w:rPr>
              <w:t>docs/data-contracts/*.md</w:t>
            </w:r>
          </w:p>
        </w:tc>
        <w:tc>
          <w:tcPr>
            <w:tcW w:type="dxa" w:w="6624"/>
            <w:tcMar>
              <w:top w:w="100" w:type="dxa"/>
              <w:start w:w="120" w:type="dxa"/>
              <w:bottom w:w="100" w:type="dxa"/>
              <w:end w:w="120" w:type="dxa"/>
            </w:tcMar>
            <w:vAlign w:val="center"/>
          </w:tcPr>
          <w:p>
            <w:pPr>
              <w:spacing w:after="0"/>
            </w:pPr>
            <w:r>
              <w:rPr>
                <w:sz w:val="17"/>
              </w:rPr>
              <w:t>Stable definitions for strategies, research results, signals, and paper accounting.</w:t>
            </w:r>
          </w:p>
        </w:tc>
      </w:tr>
      <w:tr>
        <w:tc>
          <w:tcPr>
            <w:tcW w:type="dxa" w:w="2520"/>
            <w:tcMar>
              <w:top w:w="100" w:type="dxa"/>
              <w:start w:w="120" w:type="dxa"/>
              <w:bottom w:w="100" w:type="dxa"/>
              <w:end w:w="120" w:type="dxa"/>
            </w:tcMar>
            <w:vAlign w:val="center"/>
            <w:shd w:fill="F2F6F9"/>
          </w:tcPr>
          <w:p>
            <w:pPr>
              <w:spacing w:after="0"/>
            </w:pPr>
            <w:r>
              <w:rPr>
                <w:sz w:val="17"/>
              </w:rPr>
              <w:t>docs/reference-adoption/*.md</w:t>
            </w:r>
          </w:p>
        </w:tc>
        <w:tc>
          <w:tcPr>
            <w:tcW w:type="dxa" w:w="6624"/>
            <w:tcMar>
              <w:top w:w="100" w:type="dxa"/>
              <w:start w:w="120" w:type="dxa"/>
              <w:bottom w:w="100" w:type="dxa"/>
              <w:end w:w="120" w:type="dxa"/>
            </w:tcMar>
            <w:vAlign w:val="center"/>
            <w:shd w:fill="F2F6F9"/>
          </w:tcPr>
          <w:p>
            <w:pPr>
              <w:spacing w:after="0"/>
            </w:pPr>
            <w:r>
              <w:rPr>
                <w:sz w:val="17"/>
              </w:rPr>
              <w:t>Records which Vibe-Trading patterns were adopted, adapted, deferred, or rejected.</w:t>
            </w:r>
          </w:p>
        </w:tc>
      </w:tr>
    </w:tbl>
    <w:p/>
    <w:p>
      <w:pPr>
        <w:pStyle w:val="Heading2"/>
      </w:pPr>
      <w:r>
        <w:t>Required ADRs</w:t>
      </w:r>
    </w:p>
    <w:p>
      <w:pPr>
        <w:pStyle w:val="ListBullet"/>
      </w:pPr>
      <w:r>
        <w:t>ADR-0001: Keep vanilla JavaScript frontend.</w:t>
      </w:r>
    </w:p>
    <w:p>
      <w:pPr>
        <w:pStyle w:val="ListBullet"/>
      </w:pPr>
      <w:r>
        <w:t>ADR-0002: Supabase remains the backend and persistence layer.</w:t>
      </w:r>
    </w:p>
    <w:p>
      <w:pPr>
        <w:pStyle w:val="ListBullet"/>
      </w:pPr>
      <w:r>
        <w:t>ADR-0003: Vibe-Trading is read-only reference material.</w:t>
      </w:r>
    </w:p>
    <w:p>
      <w:pPr>
        <w:pStyle w:val="ListBullet"/>
      </w:pPr>
      <w:r>
        <w:t>ADR-0004: Paper trading only for the current product stage.</w:t>
      </w:r>
    </w:p>
    <w:p>
      <w:pPr>
        <w:pStyle w:val="ListBullet"/>
      </w:pPr>
      <w:r>
        <w:t>ADR-0005: Transparent deterministic strategies before machine learning.</w:t>
      </w:r>
    </w:p>
    <w:p>
      <w:pPr>
        <w:pStyle w:val="ListBullet"/>
      </w:pPr>
      <w:r>
        <w:t>ADR-0006: Incremental extraction from index.html instead of a rewrite.</w:t>
      </w:r>
    </w:p>
    <w:p>
      <w:pPr>
        <w:pStyle w:val="Heading1"/>
      </w:pPr>
      <w:r>
        <w:t>5. Core Data Contracts</w:t>
      </w:r>
    </w:p>
    <w:p>
      <w:pPr>
        <w:pStyle w:val="Heading2"/>
      </w:pPr>
      <w:r>
        <w:t>Signal event</w:t>
      </w:r>
    </w:p>
    <w:p>
      <w:pPr>
        <w:pStyle w:val="CodeBlock"/>
        <w:keepLines/>
      </w:pPr>
      <w:r>
        <w:rPr>
          <w:rFonts w:ascii="Consolas" w:hAnsi="Consolas"/>
          <w:color w:val="202830"/>
          <w:sz w:val="16"/>
        </w:rPr>
        <w:t>{</w:t>
        <w:br/>
        <w:t xml:space="preserve">  "signal_id": "uuid",</w:t>
        <w:br/>
        <w:t xml:space="preserve">  "symbol": "BTC/USDT",</w:t>
        <w:br/>
        <w:t xml:space="preserve">  "timeframe": "4h",</w:t>
        <w:br/>
        <w:t xml:space="preserve">  "candle_timestamp": "ISO-8601",</w:t>
        <w:br/>
        <w:t xml:space="preserve">  "value": 1.0,</w:t>
        <w:br/>
        <w:t xml:space="preserve">  "classification": "BUY",</w:t>
        <w:br/>
        <w:t xml:space="preserve">  "strategy_id": "ema-crossover",</w:t>
        <w:br/>
        <w:t xml:space="preserve">  "strategy_version": "1.0.0",</w:t>
        <w:br/>
        <w:t xml:space="preserve">  "parameters": {"fast_period": 20, "slow_period": 50},</w:t>
        <w:br/>
        <w:t xml:space="preserve">  "research_run_id": "uuid",</w:t>
        <w:br/>
        <w:t xml:space="preserve">  "validation": "out_of_sample",</w:t>
        <w:br/>
        <w:t xml:space="preserve">  "reason_codes": ["FAST_EMA_CROSSED_ABOVE_SLOW_EMA"],</w:t>
        <w:br/>
        <w:t xml:space="preserve">  "generated_at": "ISO-8601"</w:t>
        <w:br/>
        <w:t>}</w:t>
      </w:r>
    </w:p>
    <w:p>
      <w:r>
        <w:t>The [-1, 1] value expresses signal direction and relative strength; it must not be represented as a guaranteed probability of profit.</w:t>
      </w:r>
    </w:p>
    <w:p>
      <w:pPr>
        <w:pStyle w:val="Heading2"/>
      </w:pPr>
      <w:r>
        <w:t>Strategy lifecycle</w:t>
      </w:r>
    </w:p>
    <w:p>
      <w:pPr>
        <w:pStyle w:val="CodeBlock"/>
        <w:keepLines/>
      </w:pPr>
      <w:r>
        <w:rPr>
          <w:rFonts w:ascii="Consolas" w:hAnsi="Consolas"/>
          <w:color w:val="202830"/>
          <w:sz w:val="16"/>
        </w:rPr>
        <w:t>DRAFT -&gt; RESEARCHING -&gt; CANDIDATE -&gt; PAPER_APPROVED -&gt; ACTIVE_PAPER -&gt; PAUSED / RETIRED / REJECTED</w:t>
      </w:r>
    </w:p>
    <w:p>
      <w:r>
        <w:t>Do not create a LIVE_APPROVED state during this roadmap.</w:t>
      </w:r>
    </w:p>
    <w:p>
      <w:pPr>
        <w:pStyle w:val="Heading2"/>
      </w:pPr>
      <w:r>
        <w:t>Research-result minimum fields</w:t>
      </w:r>
    </w:p>
    <w:p>
      <w:pPr>
        <w:pStyle w:val="ListBullet"/>
      </w:pPr>
      <w:r>
        <w:t>Research run identifier, strategy identifier, strategy version, full parameters, code/config version.</w:t>
      </w:r>
    </w:p>
    <w:p>
      <w:pPr>
        <w:pStyle w:val="ListBullet"/>
      </w:pPr>
      <w:r>
        <w:t>Symbols, timeframe, source, dataset dates, bar count, and data-quality status.</w:t>
      </w:r>
    </w:p>
    <w:p>
      <w:pPr>
        <w:pStyle w:val="ListBullet"/>
      </w:pPr>
      <w:r>
        <w:t>Train/test dates and explicit in-sample or out-of-sample designation.</w:t>
      </w:r>
    </w:p>
    <w:p>
      <w:pPr>
        <w:pStyle w:val="ListBullet"/>
      </w:pPr>
      <w:r>
        <w:t>Return, Sharpe, maximum drawdown, win rate, profit factor, trade count, and Calmar ratio.</w:t>
      </w:r>
    </w:p>
    <w:p>
      <w:pPr>
        <w:pStyle w:val="ListBullet"/>
      </w:pPr>
      <w:r>
        <w:t>Fee and slippage assumptions, validation warnings, and reproducibility metadata.</w:t>
      </w:r>
    </w:p>
    <w:p>
      <w:pPr>
        <w:pStyle w:val="Heading1"/>
      </w:pPr>
      <w:r>
        <w:t>6. Database and Integrity Priorities</w:t>
      </w:r>
    </w:p>
    <w:p>
      <w:r>
        <w:t>The highest-priority gap is paper-accounting persistence. Orders and positions exist, but a client-side cash variable that resets on reload cannot be the accounting source of truth.</w:t>
      </w:r>
    </w:p>
    <w:tbl>
      <w:tblPr>
        <w:tblStyle w:val="TableGrid"/>
        <w:tblW w:type="auto" w:w="0"/>
        <w:jc w:val="center"/>
        <w:tblLook w:firstColumn="1" w:firstRow="1" w:lastColumn="0" w:lastRow="0" w:noHBand="0" w:noVBand="1" w:val="04A0"/>
      </w:tblPr>
      <w:tblGrid>
        <w:gridCol w:w="4939"/>
        <w:gridCol w:w="4939"/>
      </w:tblGrid>
      <w:tr>
        <w:tc>
          <w:tcPr>
            <w:tcW w:type="dxa" w:w="2592"/>
            <w:shd w:fill="173F5F"/>
            <w:tcMar>
              <w:top w:w="100" w:type="dxa"/>
              <w:start w:w="120" w:type="dxa"/>
              <w:bottom w:w="100" w:type="dxa"/>
              <w:end w:w="120" w:type="dxa"/>
            </w:tcMar>
            <w:vAlign w:val="center"/>
          </w:tcPr>
          <w:p>
            <w:pPr>
              <w:jc w:val="center"/>
            </w:pPr>
            <w:r>
              <w:rPr>
                <w:b/>
                <w:color w:val="FFFFFF"/>
                <w:sz w:val="18"/>
              </w:rPr>
              <w:t>Proposed table</w:t>
            </w:r>
          </w:p>
        </w:tc>
        <w:tc>
          <w:tcPr>
            <w:tcW w:type="dxa" w:w="6552"/>
            <w:shd w:fill="173F5F"/>
            <w:tcMar>
              <w:top w:w="100" w:type="dxa"/>
              <w:start w:w="120" w:type="dxa"/>
              <w:bottom w:w="100" w:type="dxa"/>
              <w:end w:w="120" w:type="dxa"/>
            </w:tcMar>
            <w:vAlign w:val="center"/>
          </w:tcPr>
          <w:p>
            <w:pPr>
              <w:jc w:val="center"/>
            </w:pPr>
            <w:r>
              <w:rPr>
                <w:b/>
                <w:color w:val="FFFFFF"/>
                <w:sz w:val="18"/>
              </w:rPr>
              <w:t>Purpose</w:t>
            </w:r>
          </w:p>
        </w:tc>
      </w:tr>
      <w:tr>
        <w:tc>
          <w:tcPr>
            <w:tcW w:type="dxa" w:w="2592"/>
            <w:tcMar>
              <w:top w:w="100" w:type="dxa"/>
              <w:start w:w="120" w:type="dxa"/>
              <w:bottom w:w="100" w:type="dxa"/>
              <w:end w:w="120" w:type="dxa"/>
            </w:tcMar>
            <w:vAlign w:val="center"/>
          </w:tcPr>
          <w:p>
            <w:pPr>
              <w:spacing w:after="0"/>
            </w:pPr>
            <w:r>
              <w:rPr>
                <w:sz w:val="17"/>
              </w:rPr>
              <w:t>paper_portfolios</w:t>
            </w:r>
          </w:p>
        </w:tc>
        <w:tc>
          <w:tcPr>
            <w:tcW w:type="dxa" w:w="6552"/>
            <w:tcMar>
              <w:top w:w="100" w:type="dxa"/>
              <w:start w:w="120" w:type="dxa"/>
              <w:bottom w:w="100" w:type="dxa"/>
              <w:end w:w="120" w:type="dxa"/>
            </w:tcMar>
            <w:vAlign w:val="center"/>
          </w:tcPr>
          <w:p>
            <w:pPr>
              <w:spacing w:after="0"/>
            </w:pPr>
            <w:r>
              <w:rPr>
                <w:sz w:val="17"/>
              </w:rPr>
              <w:t>Identifies each simulated portfolio and its starting capital/status.</w:t>
            </w:r>
          </w:p>
        </w:tc>
      </w:tr>
      <w:tr>
        <w:tc>
          <w:tcPr>
            <w:tcW w:type="dxa" w:w="2592"/>
            <w:tcMar>
              <w:top w:w="100" w:type="dxa"/>
              <w:start w:w="120" w:type="dxa"/>
              <w:bottom w:w="100" w:type="dxa"/>
              <w:end w:w="120" w:type="dxa"/>
            </w:tcMar>
            <w:vAlign w:val="center"/>
            <w:shd w:fill="F2F6F9"/>
          </w:tcPr>
          <w:p>
            <w:pPr>
              <w:spacing w:after="0"/>
            </w:pPr>
            <w:r>
              <w:rPr>
                <w:sz w:val="17"/>
              </w:rPr>
              <w:t>paper_cash_ledger</w:t>
            </w:r>
          </w:p>
        </w:tc>
        <w:tc>
          <w:tcPr>
            <w:tcW w:type="dxa" w:w="6552"/>
            <w:tcMar>
              <w:top w:w="100" w:type="dxa"/>
              <w:start w:w="120" w:type="dxa"/>
              <w:bottom w:w="100" w:type="dxa"/>
              <w:end w:w="120" w:type="dxa"/>
            </w:tcMar>
            <w:vAlign w:val="center"/>
            <w:shd w:fill="F2F6F9"/>
          </w:tcPr>
          <w:p>
            <w:pPr>
              <w:spacing w:after="0"/>
            </w:pPr>
            <w:r>
              <w:rPr>
                <w:sz w:val="17"/>
              </w:rPr>
              <w:t>Immutable deposits, buys, sells, fees, adjustments, and balance-after entries.</w:t>
            </w:r>
          </w:p>
        </w:tc>
      </w:tr>
      <w:tr>
        <w:tc>
          <w:tcPr>
            <w:tcW w:type="dxa" w:w="2592"/>
            <w:tcMar>
              <w:top w:w="100" w:type="dxa"/>
              <w:start w:w="120" w:type="dxa"/>
              <w:bottom w:w="100" w:type="dxa"/>
              <w:end w:w="120" w:type="dxa"/>
            </w:tcMar>
            <w:vAlign w:val="center"/>
          </w:tcPr>
          <w:p>
            <w:pPr>
              <w:spacing w:after="0"/>
            </w:pPr>
            <w:r>
              <w:rPr>
                <w:sz w:val="17"/>
              </w:rPr>
              <w:t>strategy_definitions</w:t>
            </w:r>
          </w:p>
        </w:tc>
        <w:tc>
          <w:tcPr>
            <w:tcW w:type="dxa" w:w="6552"/>
            <w:tcMar>
              <w:top w:w="100" w:type="dxa"/>
              <w:start w:w="120" w:type="dxa"/>
              <w:bottom w:w="100" w:type="dxa"/>
              <w:end w:w="120" w:type="dxa"/>
            </w:tcMar>
            <w:vAlign w:val="center"/>
          </w:tcPr>
          <w:p>
            <w:pPr>
              <w:spacing w:after="0"/>
            </w:pPr>
            <w:r>
              <w:rPr>
                <w:sz w:val="17"/>
              </w:rPr>
              <w:t>Stable identity and descriptive metadata.</w:t>
            </w:r>
          </w:p>
        </w:tc>
      </w:tr>
      <w:tr>
        <w:tc>
          <w:tcPr>
            <w:tcW w:type="dxa" w:w="2592"/>
            <w:tcMar>
              <w:top w:w="100" w:type="dxa"/>
              <w:start w:w="120" w:type="dxa"/>
              <w:bottom w:w="100" w:type="dxa"/>
              <w:end w:w="120" w:type="dxa"/>
            </w:tcMar>
            <w:vAlign w:val="center"/>
            <w:shd w:fill="F2F6F9"/>
          </w:tcPr>
          <w:p>
            <w:pPr>
              <w:spacing w:after="0"/>
            </w:pPr>
            <w:r>
              <w:rPr>
                <w:sz w:val="17"/>
              </w:rPr>
              <w:t>strategy_versions</w:t>
            </w:r>
          </w:p>
        </w:tc>
        <w:tc>
          <w:tcPr>
            <w:tcW w:type="dxa" w:w="6552"/>
            <w:tcMar>
              <w:top w:w="100" w:type="dxa"/>
              <w:start w:w="120" w:type="dxa"/>
              <w:bottom w:w="100" w:type="dxa"/>
              <w:end w:w="120" w:type="dxa"/>
            </w:tcMar>
            <w:vAlign w:val="center"/>
            <w:shd w:fill="F2F6F9"/>
          </w:tcPr>
          <w:p>
            <w:pPr>
              <w:spacing w:after="0"/>
            </w:pPr>
            <w:r>
              <w:rPr>
                <w:sz w:val="17"/>
              </w:rPr>
              <w:t>Versioned parameters and rule definitions.</w:t>
            </w:r>
          </w:p>
        </w:tc>
      </w:tr>
      <w:tr>
        <w:tc>
          <w:tcPr>
            <w:tcW w:type="dxa" w:w="2592"/>
            <w:tcMar>
              <w:top w:w="100" w:type="dxa"/>
              <w:start w:w="120" w:type="dxa"/>
              <w:bottom w:w="100" w:type="dxa"/>
              <w:end w:w="120" w:type="dxa"/>
            </w:tcMar>
            <w:vAlign w:val="center"/>
          </w:tcPr>
          <w:p>
            <w:pPr>
              <w:spacing w:after="0"/>
            </w:pPr>
            <w:r>
              <w:rPr>
                <w:sz w:val="17"/>
              </w:rPr>
              <w:t>strategy_approvals</w:t>
            </w:r>
          </w:p>
        </w:tc>
        <w:tc>
          <w:tcPr>
            <w:tcW w:type="dxa" w:w="6552"/>
            <w:tcMar>
              <w:top w:w="100" w:type="dxa"/>
              <w:start w:w="120" w:type="dxa"/>
              <w:bottom w:w="100" w:type="dxa"/>
              <w:end w:w="120" w:type="dxa"/>
            </w:tcMar>
            <w:vAlign w:val="center"/>
          </w:tcPr>
          <w:p>
            <w:pPr>
              <w:spacing w:after="0"/>
            </w:pPr>
            <w:r>
              <w:rPr>
                <w:sz w:val="17"/>
              </w:rPr>
              <w:t>Evidence-based paper approval and status changes.</w:t>
            </w:r>
          </w:p>
        </w:tc>
      </w:tr>
      <w:tr>
        <w:tc>
          <w:tcPr>
            <w:tcW w:type="dxa" w:w="2592"/>
            <w:tcMar>
              <w:top w:w="100" w:type="dxa"/>
              <w:start w:w="120" w:type="dxa"/>
              <w:bottom w:w="100" w:type="dxa"/>
              <w:end w:w="120" w:type="dxa"/>
            </w:tcMar>
            <w:vAlign w:val="center"/>
            <w:shd w:fill="F2F6F9"/>
          </w:tcPr>
          <w:p>
            <w:pPr>
              <w:spacing w:after="0"/>
            </w:pPr>
            <w:r>
              <w:rPr>
                <w:sz w:val="17"/>
              </w:rPr>
              <w:t>signal_events</w:t>
            </w:r>
          </w:p>
        </w:tc>
        <w:tc>
          <w:tcPr>
            <w:tcW w:type="dxa" w:w="6552"/>
            <w:tcMar>
              <w:top w:w="100" w:type="dxa"/>
              <w:start w:w="120" w:type="dxa"/>
              <w:bottom w:w="100" w:type="dxa"/>
              <w:end w:w="120" w:type="dxa"/>
            </w:tcMar>
            <w:vAlign w:val="center"/>
            <w:shd w:fill="F2F6F9"/>
          </w:tcPr>
          <w:p>
            <w:pPr>
              <w:spacing w:after="0"/>
            </w:pPr>
            <w:r>
              <w:rPr>
                <w:sz w:val="17"/>
              </w:rPr>
              <w:t>Traceable, append-oriented strategy outputs.</w:t>
            </w:r>
          </w:p>
        </w:tc>
      </w:tr>
      <w:tr>
        <w:tc>
          <w:tcPr>
            <w:tcW w:type="dxa" w:w="2592"/>
            <w:tcMar>
              <w:top w:w="100" w:type="dxa"/>
              <w:start w:w="120" w:type="dxa"/>
              <w:bottom w:w="100" w:type="dxa"/>
              <w:end w:w="120" w:type="dxa"/>
            </w:tcMar>
            <w:vAlign w:val="center"/>
          </w:tcPr>
          <w:p>
            <w:pPr>
              <w:spacing w:after="0"/>
            </w:pPr>
            <w:r>
              <w:rPr>
                <w:sz w:val="17"/>
              </w:rPr>
              <w:t>strategy_health_snapshots</w:t>
            </w:r>
          </w:p>
        </w:tc>
        <w:tc>
          <w:tcPr>
            <w:tcW w:type="dxa" w:w="6552"/>
            <w:tcMar>
              <w:top w:w="100" w:type="dxa"/>
              <w:start w:w="120" w:type="dxa"/>
              <w:bottom w:w="100" w:type="dxa"/>
              <w:end w:w="120" w:type="dxa"/>
            </w:tcMar>
            <w:vAlign w:val="center"/>
          </w:tcPr>
          <w:p>
            <w:pPr>
              <w:spacing w:after="0"/>
            </w:pPr>
            <w:r>
              <w:rPr>
                <w:sz w:val="17"/>
              </w:rPr>
              <w:t>Decay, drawdown, inactivity, and performance monitoring.</w:t>
            </w:r>
          </w:p>
        </w:tc>
      </w:tr>
      <w:tr>
        <w:tc>
          <w:tcPr>
            <w:tcW w:type="dxa" w:w="2592"/>
            <w:tcMar>
              <w:top w:w="100" w:type="dxa"/>
              <w:start w:w="120" w:type="dxa"/>
              <w:bottom w:w="100" w:type="dxa"/>
              <w:end w:w="120" w:type="dxa"/>
            </w:tcMar>
            <w:vAlign w:val="center"/>
            <w:shd w:fill="F2F6F9"/>
          </w:tcPr>
          <w:p>
            <w:pPr>
              <w:spacing w:after="0"/>
            </w:pPr>
            <w:r>
              <w:rPr>
                <w:sz w:val="17"/>
              </w:rPr>
              <w:t>data_quality_runs</w:t>
            </w:r>
          </w:p>
        </w:tc>
        <w:tc>
          <w:tcPr>
            <w:tcW w:type="dxa" w:w="6552"/>
            <w:tcMar>
              <w:top w:w="100" w:type="dxa"/>
              <w:start w:w="120" w:type="dxa"/>
              <w:bottom w:w="100" w:type="dxa"/>
              <w:end w:w="120" w:type="dxa"/>
            </w:tcMar>
            <w:vAlign w:val="center"/>
            <w:shd w:fill="F2F6F9"/>
          </w:tcPr>
          <w:p>
            <w:pPr>
              <w:spacing w:after="0"/>
            </w:pPr>
            <w:r>
              <w:rPr>
                <w:sz w:val="17"/>
              </w:rPr>
              <w:t>Freshness, duplicates, gaps, and validation findings.</w:t>
            </w:r>
          </w:p>
        </w:tc>
      </w:tr>
    </w:tbl>
    <w:p/>
    <w:p>
      <w:pPr>
        <w:pStyle w:val="Heading2"/>
      </w:pPr>
      <w:r>
        <w:t>Security controls</w:t>
      </w:r>
    </w:p>
    <w:p>
      <w:pPr>
        <w:pStyle w:val="ListBullet"/>
      </w:pPr>
      <w:r>
        <w:t>Never expose the Supabase service-role key in browser code, repository files, logs, or prompts.</w:t>
      </w:r>
    </w:p>
    <w:p>
      <w:pPr>
        <w:pStyle w:val="ListBullet"/>
      </w:pPr>
      <w:r>
        <w:t>Review RLS before adding any anon INSERT/UPDATE/DELETE capability.</w:t>
      </w:r>
    </w:p>
    <w:p>
      <w:pPr>
        <w:pStyle w:val="ListBullet"/>
      </w:pPr>
      <w:r>
        <w:t>Use idempotency keys for paper orders and ledger events to prevent duplicate processing.</w:t>
      </w:r>
    </w:p>
    <w:p>
      <w:pPr>
        <w:pStyle w:val="ListBullet"/>
      </w:pPr>
      <w:r>
        <w:t>Keep exchange credentials read-only for data collection; do not add withdrawal or trading permissions.</w:t>
      </w:r>
    </w:p>
    <w:p>
      <w:pPr>
        <w:pStyle w:val="ListBullet"/>
      </w:pPr>
      <w:r>
        <w:t>Record schema changes and policy changes in migrations and ADRs.</w:t>
      </w:r>
    </w:p>
    <w:p>
      <w:pPr>
        <w:pStyle w:val="Heading1"/>
      </w:pPr>
      <w:r>
        <w:t>7. Phased Delivery Roadmap</w:t>
      </w:r>
    </w:p>
    <w:tbl>
      <w:tblPr>
        <w:tblStyle w:val="TableGrid"/>
        <w:tblW w:type="auto" w:w="0"/>
        <w:jc w:val="center"/>
        <w:tblLook w:firstColumn="1" w:firstRow="1" w:lastColumn="0" w:lastRow="0" w:noHBand="0" w:noVBand="1" w:val="04A0"/>
      </w:tblPr>
      <w:tblGrid>
        <w:gridCol w:w="3293"/>
        <w:gridCol w:w="3293"/>
        <w:gridCol w:w="3293"/>
      </w:tblGrid>
      <w:tr>
        <w:tc>
          <w:tcPr>
            <w:tcW w:type="dxa" w:w="1656"/>
            <w:shd w:fill="173F5F"/>
            <w:tcMar>
              <w:top w:w="100" w:type="dxa"/>
              <w:start w:w="120" w:type="dxa"/>
              <w:bottom w:w="100" w:type="dxa"/>
              <w:end w:w="120" w:type="dxa"/>
            </w:tcMar>
            <w:vAlign w:val="center"/>
          </w:tcPr>
          <w:p>
            <w:pPr>
              <w:jc w:val="center"/>
            </w:pPr>
            <w:r>
              <w:rPr>
                <w:b/>
                <w:color w:val="FFFFFF"/>
                <w:sz w:val="18"/>
              </w:rPr>
              <w:t>Milestone</w:t>
            </w:r>
          </w:p>
        </w:tc>
        <w:tc>
          <w:tcPr>
            <w:tcW w:type="dxa" w:w="5040"/>
            <w:shd w:fill="173F5F"/>
            <w:tcMar>
              <w:top w:w="100" w:type="dxa"/>
              <w:start w:w="120" w:type="dxa"/>
              <w:bottom w:w="100" w:type="dxa"/>
              <w:end w:w="120" w:type="dxa"/>
            </w:tcMar>
            <w:vAlign w:val="center"/>
          </w:tcPr>
          <w:p>
            <w:pPr>
              <w:jc w:val="center"/>
            </w:pPr>
            <w:r>
              <w:rPr>
                <w:b/>
                <w:color w:val="FFFFFF"/>
                <w:sz w:val="18"/>
              </w:rPr>
              <w:t>Outcome</w:t>
            </w:r>
          </w:p>
        </w:tc>
        <w:tc>
          <w:tcPr>
            <w:tcW w:type="dxa" w:w="2448"/>
            <w:shd w:fill="173F5F"/>
            <w:tcMar>
              <w:top w:w="100" w:type="dxa"/>
              <w:start w:w="120" w:type="dxa"/>
              <w:bottom w:w="100" w:type="dxa"/>
              <w:end w:w="120" w:type="dxa"/>
            </w:tcMar>
            <w:vAlign w:val="center"/>
          </w:tcPr>
          <w:p>
            <w:pPr>
              <w:jc w:val="center"/>
            </w:pPr>
            <w:r>
              <w:rPr>
                <w:b/>
                <w:color w:val="FFFFFF"/>
                <w:sz w:val="18"/>
              </w:rPr>
              <w:t>Explicit exclusions</w:t>
            </w:r>
          </w:p>
        </w:tc>
      </w:tr>
      <w:tr>
        <w:tc>
          <w:tcPr>
            <w:tcW w:type="dxa" w:w="1656"/>
            <w:tcMar>
              <w:top w:w="100" w:type="dxa"/>
              <w:start w:w="120" w:type="dxa"/>
              <w:bottom w:w="100" w:type="dxa"/>
              <w:end w:w="120" w:type="dxa"/>
            </w:tcMar>
            <w:vAlign w:val="center"/>
          </w:tcPr>
          <w:p>
            <w:pPr>
              <w:spacing w:after="0"/>
            </w:pPr>
            <w:r>
              <w:rPr>
                <w:sz w:val="17"/>
              </w:rPr>
              <w:t>0 - Governance</w:t>
            </w:r>
          </w:p>
        </w:tc>
        <w:tc>
          <w:tcPr>
            <w:tcW w:type="dxa" w:w="5040"/>
            <w:tcMar>
              <w:top w:w="100" w:type="dxa"/>
              <w:start w:w="120" w:type="dxa"/>
              <w:bottom w:w="100" w:type="dxa"/>
              <w:end w:w="120" w:type="dxa"/>
            </w:tcMar>
            <w:vAlign w:val="center"/>
          </w:tcPr>
          <w:p>
            <w:pPr>
              <w:spacing w:after="0"/>
            </w:pPr>
            <w:r>
              <w:rPr>
                <w:sz w:val="17"/>
              </w:rPr>
              <w:t>Create AI rules, ADRs, contracts, status, and roadmap.</w:t>
            </w:r>
          </w:p>
        </w:tc>
        <w:tc>
          <w:tcPr>
            <w:tcW w:type="dxa" w:w="2448"/>
            <w:tcMar>
              <w:top w:w="100" w:type="dxa"/>
              <w:start w:w="120" w:type="dxa"/>
              <w:bottom w:w="100" w:type="dxa"/>
              <w:end w:w="120" w:type="dxa"/>
            </w:tcMar>
            <w:vAlign w:val="center"/>
          </w:tcPr>
          <w:p>
            <w:pPr>
              <w:spacing w:after="0"/>
            </w:pPr>
            <w:r>
              <w:rPr>
                <w:sz w:val="17"/>
              </w:rPr>
              <w:t>No runtime changes.</w:t>
            </w:r>
          </w:p>
        </w:tc>
      </w:tr>
      <w:tr>
        <w:tc>
          <w:tcPr>
            <w:tcW w:type="dxa" w:w="1656"/>
            <w:tcMar>
              <w:top w:w="100" w:type="dxa"/>
              <w:start w:w="120" w:type="dxa"/>
              <w:bottom w:w="100" w:type="dxa"/>
              <w:end w:w="120" w:type="dxa"/>
            </w:tcMar>
            <w:vAlign w:val="center"/>
            <w:shd w:fill="F2F6F9"/>
          </w:tcPr>
          <w:p>
            <w:pPr>
              <w:spacing w:after="0"/>
            </w:pPr>
            <w:r>
              <w:rPr>
                <w:sz w:val="17"/>
              </w:rPr>
              <w:t>1 - Paper integrity</w:t>
            </w:r>
          </w:p>
        </w:tc>
        <w:tc>
          <w:tcPr>
            <w:tcW w:type="dxa" w:w="5040"/>
            <w:tcMar>
              <w:top w:w="100" w:type="dxa"/>
              <w:start w:w="120" w:type="dxa"/>
              <w:bottom w:w="100" w:type="dxa"/>
              <w:end w:w="120" w:type="dxa"/>
            </w:tcMar>
            <w:vAlign w:val="center"/>
            <w:shd w:fill="F2F6F9"/>
          </w:tcPr>
          <w:p>
            <w:pPr>
              <w:spacing w:after="0"/>
            </w:pPr>
            <w:r>
              <w:rPr>
                <w:sz w:val="17"/>
              </w:rPr>
              <w:t>Persist portfolio, cash ledger, orders, positions, and reload reconstruction.</w:t>
            </w:r>
          </w:p>
        </w:tc>
        <w:tc>
          <w:tcPr>
            <w:tcW w:type="dxa" w:w="2448"/>
            <w:tcMar>
              <w:top w:w="100" w:type="dxa"/>
              <w:start w:w="120" w:type="dxa"/>
              <w:bottom w:w="100" w:type="dxa"/>
              <w:end w:w="120" w:type="dxa"/>
            </w:tcMar>
            <w:vAlign w:val="center"/>
            <w:shd w:fill="F2F6F9"/>
          </w:tcPr>
          <w:p>
            <w:pPr>
              <w:spacing w:after="0"/>
            </w:pPr>
            <w:r>
              <w:rPr>
                <w:sz w:val="17"/>
              </w:rPr>
              <w:t>No live execution.</w:t>
            </w:r>
          </w:p>
        </w:tc>
      </w:tr>
      <w:tr>
        <w:tc>
          <w:tcPr>
            <w:tcW w:type="dxa" w:w="1656"/>
            <w:tcMar>
              <w:top w:w="100" w:type="dxa"/>
              <w:start w:w="120" w:type="dxa"/>
              <w:bottom w:w="100" w:type="dxa"/>
              <w:end w:w="120" w:type="dxa"/>
            </w:tcMar>
            <w:vAlign w:val="center"/>
          </w:tcPr>
          <w:p>
            <w:pPr>
              <w:spacing w:after="0"/>
            </w:pPr>
            <w:r>
              <w:rPr>
                <w:sz w:val="17"/>
              </w:rPr>
              <w:t>2 - Vertical slice</w:t>
            </w:r>
          </w:p>
        </w:tc>
        <w:tc>
          <w:tcPr>
            <w:tcW w:type="dxa" w:w="5040"/>
            <w:tcMar>
              <w:top w:w="100" w:type="dxa"/>
              <w:start w:w="120" w:type="dxa"/>
              <w:bottom w:w="100" w:type="dxa"/>
              <w:end w:w="120" w:type="dxa"/>
            </w:tcMar>
            <w:vAlign w:val="center"/>
          </w:tcPr>
          <w:p>
            <w:pPr>
              <w:spacing w:after="0"/>
            </w:pPr>
            <w:r>
              <w:rPr>
                <w:sz w:val="17"/>
              </w:rPr>
              <w:t>BTC/USDT 4h, one approved strategy, evidence-linked signals and markers.</w:t>
            </w:r>
          </w:p>
        </w:tc>
        <w:tc>
          <w:tcPr>
            <w:tcW w:type="dxa" w:w="2448"/>
            <w:tcMar>
              <w:top w:w="100" w:type="dxa"/>
              <w:start w:w="120" w:type="dxa"/>
              <w:bottom w:w="100" w:type="dxa"/>
              <w:end w:w="120" w:type="dxa"/>
            </w:tcMar>
            <w:vAlign w:val="center"/>
          </w:tcPr>
          <w:p>
            <w:pPr>
              <w:spacing w:after="0"/>
            </w:pPr>
            <w:r>
              <w:rPr>
                <w:sz w:val="17"/>
              </w:rPr>
              <w:t>No ML, MCP, agents, or UI redesign.</w:t>
            </w:r>
          </w:p>
        </w:tc>
      </w:tr>
      <w:tr>
        <w:tc>
          <w:tcPr>
            <w:tcW w:type="dxa" w:w="1656"/>
            <w:tcMar>
              <w:top w:w="100" w:type="dxa"/>
              <w:start w:w="120" w:type="dxa"/>
              <w:bottom w:w="100" w:type="dxa"/>
              <w:end w:w="120" w:type="dxa"/>
            </w:tcMar>
            <w:vAlign w:val="center"/>
            <w:shd w:fill="F2F6F9"/>
          </w:tcPr>
          <w:p>
            <w:pPr>
              <w:spacing w:after="0"/>
            </w:pPr>
            <w:r>
              <w:rPr>
                <w:sz w:val="17"/>
              </w:rPr>
              <w:t>3 - Strategy lifecycle</w:t>
            </w:r>
          </w:p>
        </w:tc>
        <w:tc>
          <w:tcPr>
            <w:tcW w:type="dxa" w:w="5040"/>
            <w:tcMar>
              <w:top w:w="100" w:type="dxa"/>
              <w:start w:w="120" w:type="dxa"/>
              <w:bottom w:w="100" w:type="dxa"/>
              <w:end w:w="120" w:type="dxa"/>
            </w:tcMar>
            <w:vAlign w:val="center"/>
            <w:shd w:fill="F2F6F9"/>
          </w:tcPr>
          <w:p>
            <w:pPr>
              <w:spacing w:after="0"/>
            </w:pPr>
            <w:r>
              <w:rPr>
                <w:sz w:val="17"/>
              </w:rPr>
              <w:t>Versioned registry, approval states, health, pause and retirement.</w:t>
            </w:r>
          </w:p>
        </w:tc>
        <w:tc>
          <w:tcPr>
            <w:tcW w:type="dxa" w:w="2448"/>
            <w:tcMar>
              <w:top w:w="100" w:type="dxa"/>
              <w:start w:w="120" w:type="dxa"/>
              <w:bottom w:w="100" w:type="dxa"/>
              <w:end w:w="120" w:type="dxa"/>
            </w:tcMar>
            <w:vAlign w:val="center"/>
            <w:shd w:fill="F2F6F9"/>
          </w:tcPr>
          <w:p>
            <w:pPr>
              <w:spacing w:after="0"/>
            </w:pPr>
            <w:r>
              <w:rPr>
                <w:sz w:val="17"/>
              </w:rPr>
              <w:t>No automated promotion.</w:t>
            </w:r>
          </w:p>
        </w:tc>
      </w:tr>
      <w:tr>
        <w:tc>
          <w:tcPr>
            <w:tcW w:type="dxa" w:w="1656"/>
            <w:tcMar>
              <w:top w:w="100" w:type="dxa"/>
              <w:start w:w="120" w:type="dxa"/>
              <w:bottom w:w="100" w:type="dxa"/>
              <w:end w:w="120" w:type="dxa"/>
            </w:tcMar>
            <w:vAlign w:val="center"/>
          </w:tcPr>
          <w:p>
            <w:pPr>
              <w:spacing w:after="0"/>
            </w:pPr>
            <w:r>
              <w:rPr>
                <w:sz w:val="17"/>
              </w:rPr>
              <w:t>4 - Modularization</w:t>
            </w:r>
          </w:p>
        </w:tc>
        <w:tc>
          <w:tcPr>
            <w:tcW w:type="dxa" w:w="5040"/>
            <w:tcMar>
              <w:top w:w="100" w:type="dxa"/>
              <w:start w:w="120" w:type="dxa"/>
              <w:bottom w:w="100" w:type="dxa"/>
              <w:end w:w="120" w:type="dxa"/>
            </w:tcMar>
            <w:vAlign w:val="center"/>
          </w:tcPr>
          <w:p>
            <w:pPr>
              <w:spacing w:after="0"/>
            </w:pPr>
            <w:r>
              <w:rPr>
                <w:sz w:val="17"/>
              </w:rPr>
              <w:t>Incrementally extract data, signals, indicators, charts, and paper accounting.</w:t>
            </w:r>
          </w:p>
        </w:tc>
        <w:tc>
          <w:tcPr>
            <w:tcW w:type="dxa" w:w="2448"/>
            <w:tcMar>
              <w:top w:w="100" w:type="dxa"/>
              <w:start w:w="120" w:type="dxa"/>
              <w:bottom w:w="100" w:type="dxa"/>
              <w:end w:w="120" w:type="dxa"/>
            </w:tcMar>
            <w:vAlign w:val="center"/>
          </w:tcPr>
          <w:p>
            <w:pPr>
              <w:spacing w:after="0"/>
            </w:pPr>
            <w:r>
              <w:rPr>
                <w:sz w:val="17"/>
              </w:rPr>
              <w:t>No wholesale rewrite.</w:t>
            </w:r>
          </w:p>
        </w:tc>
      </w:tr>
      <w:tr>
        <w:tc>
          <w:tcPr>
            <w:tcW w:type="dxa" w:w="1656"/>
            <w:tcMar>
              <w:top w:w="100" w:type="dxa"/>
              <w:start w:w="120" w:type="dxa"/>
              <w:bottom w:w="100" w:type="dxa"/>
              <w:end w:w="120" w:type="dxa"/>
            </w:tcMar>
            <w:vAlign w:val="center"/>
            <w:shd w:fill="F2F6F9"/>
          </w:tcPr>
          <w:p>
            <w:pPr>
              <w:spacing w:after="0"/>
            </w:pPr>
            <w:r>
              <w:rPr>
                <w:sz w:val="17"/>
              </w:rPr>
              <w:t>5 - Robustness</w:t>
            </w:r>
          </w:p>
        </w:tc>
        <w:tc>
          <w:tcPr>
            <w:tcW w:type="dxa" w:w="5040"/>
            <w:tcMar>
              <w:top w:w="100" w:type="dxa"/>
              <w:start w:w="120" w:type="dxa"/>
              <w:bottom w:w="100" w:type="dxa"/>
              <w:end w:w="120" w:type="dxa"/>
            </w:tcMar>
            <w:vAlign w:val="center"/>
            <w:shd w:fill="F2F6F9"/>
          </w:tcPr>
          <w:p>
            <w:pPr>
              <w:spacing w:after="0"/>
            </w:pPr>
            <w:r>
              <w:rPr>
                <w:sz w:val="17"/>
              </w:rPr>
              <w:t>Costs, slippage, regime analysis, attribution, permutation tests, decay tracking.</w:t>
            </w:r>
          </w:p>
        </w:tc>
        <w:tc>
          <w:tcPr>
            <w:tcW w:type="dxa" w:w="2448"/>
            <w:tcMar>
              <w:top w:w="100" w:type="dxa"/>
              <w:start w:w="120" w:type="dxa"/>
              <w:bottom w:w="100" w:type="dxa"/>
              <w:end w:w="120" w:type="dxa"/>
            </w:tcMar>
            <w:vAlign w:val="center"/>
            <w:shd w:fill="F2F6F9"/>
          </w:tcPr>
          <w:p>
            <w:pPr>
              <w:spacing w:after="0"/>
            </w:pPr>
            <w:r>
              <w:rPr>
                <w:sz w:val="17"/>
              </w:rPr>
              <w:t>No alpha-library import spree.</w:t>
            </w:r>
          </w:p>
        </w:tc>
      </w:tr>
      <w:tr>
        <w:tc>
          <w:tcPr>
            <w:tcW w:type="dxa" w:w="1656"/>
            <w:tcMar>
              <w:top w:w="100" w:type="dxa"/>
              <w:start w:w="120" w:type="dxa"/>
              <w:bottom w:w="100" w:type="dxa"/>
              <w:end w:w="120" w:type="dxa"/>
            </w:tcMar>
            <w:vAlign w:val="center"/>
          </w:tcPr>
          <w:p>
            <w:pPr>
              <w:spacing w:after="0"/>
            </w:pPr>
            <w:r>
              <w:rPr>
                <w:sz w:val="17"/>
              </w:rPr>
              <w:t>6 - AI assistant</w:t>
            </w:r>
          </w:p>
        </w:tc>
        <w:tc>
          <w:tcPr>
            <w:tcW w:type="dxa" w:w="5040"/>
            <w:tcMar>
              <w:top w:w="100" w:type="dxa"/>
              <w:start w:w="120" w:type="dxa"/>
              <w:bottom w:w="100" w:type="dxa"/>
              <w:end w:w="120" w:type="dxa"/>
            </w:tcMar>
            <w:vAlign w:val="center"/>
          </w:tcPr>
          <w:p>
            <w:pPr>
              <w:spacing w:after="0"/>
            </w:pPr>
            <w:r>
              <w:rPr>
                <w:sz w:val="17"/>
              </w:rPr>
              <w:t>Explain structured results and propose experiments for human review.</w:t>
            </w:r>
          </w:p>
        </w:tc>
        <w:tc>
          <w:tcPr>
            <w:tcW w:type="dxa" w:w="2448"/>
            <w:tcMar>
              <w:top w:w="100" w:type="dxa"/>
              <w:start w:w="120" w:type="dxa"/>
              <w:bottom w:w="100" w:type="dxa"/>
              <w:end w:w="120" w:type="dxa"/>
            </w:tcMar>
            <w:vAlign w:val="center"/>
          </w:tcPr>
          <w:p>
            <w:pPr>
              <w:spacing w:after="0"/>
            </w:pPr>
            <w:r>
              <w:rPr>
                <w:sz w:val="17"/>
              </w:rPr>
              <w:t>No autonomous strategy mutation or trading.</w:t>
            </w:r>
          </w:p>
        </w:tc>
      </w:tr>
    </w:tbl>
    <w:p/>
    <w:p>
      <w:pPr>
        <w:pStyle w:val="Heading2"/>
      </w:pPr>
      <w:r>
        <w:t>Definition of done for each milestone</w:t>
      </w:r>
    </w:p>
    <w:p>
      <w:pPr>
        <w:pStyle w:val="ListBullet"/>
      </w:pPr>
      <w:r>
        <w:t>Acceptance criteria are satisfied and verified.</w:t>
      </w:r>
    </w:p>
    <w:p>
      <w:pPr>
        <w:pStyle w:val="ListBullet"/>
      </w:pPr>
      <w:r>
        <w:t>Existing behavior was inspected before changes.</w:t>
      </w:r>
    </w:p>
    <w:p>
      <w:pPr>
        <w:pStyle w:val="ListBullet"/>
      </w:pPr>
      <w:r>
        <w:t>Tests and validation were run, or unrun checks are clearly disclosed.</w:t>
      </w:r>
    </w:p>
    <w:p>
      <w:pPr>
        <w:pStyle w:val="ListBullet"/>
      </w:pPr>
      <w:r>
        <w:t>No unrelated files or features were changed.</w:t>
      </w:r>
    </w:p>
    <w:p>
      <w:pPr>
        <w:pStyle w:val="ListBullet"/>
      </w:pPr>
      <w:r>
        <w:t>Data migrations and rollback implications are documented.</w:t>
      </w:r>
    </w:p>
    <w:p>
      <w:pPr>
        <w:pStyle w:val="ListBullet"/>
      </w:pPr>
      <w:r>
        <w:t>PROJECT_STATUS.md and relevant architecture/contracts are updated.</w:t>
      </w:r>
    </w:p>
    <w:p>
      <w:pPr>
        <w:pStyle w:val="ListBullet"/>
      </w:pPr>
      <w:r>
        <w:t>The final diff is reviewed for secrets, unsafe permissions, and scope drift.</w:t>
      </w:r>
    </w:p>
    <w:p>
      <w:pPr>
        <w:pStyle w:val="Heading1"/>
      </w:pPr>
      <w:r>
        <w:t>8. OpenCode Integration Prompt</w:t>
      </w:r>
    </w:p>
    <w:p>
      <w:r>
        <w:t>Paste the following prompt into OpenCode from the trading-research repository root. It instructs the agent to inspect first, integrate governance safely into AGENTS.md, and avoid changing runtime behavior during the initial pass.</w:t>
      </w:r>
    </w:p>
    <w:p>
      <w:pPr>
        <w:pStyle w:val="CodeBlock"/>
        <w:keepLines/>
      </w:pPr>
      <w:r>
        <w:rPr>
          <w:rFonts w:ascii="Consolas" w:hAnsi="Consolas"/>
          <w:color w:val="202830"/>
          <w:sz w:val="16"/>
        </w:rPr>
        <w:t>You are operating inside the trading-research monorepo.</w:t>
        <w:br/>
        <w:br/>
        <w:t>PRIMARY OBJECTIVE</w:t>
        <w:br/>
        <w:t>Establish a durable AI-governance and project-documentation layer that keeps future development aligned with the existing crypto-etl product. Do not implement runtime features in this task.</w:t>
        <w:br/>
        <w:br/>
        <w:t>REPOSITORY AUTHORITY</w:t>
        <w:br/>
        <w:t>1. crypto-etl/ is the only active product.</w:t>
        <w:br/>
        <w:t>2. vibe-trading/ is read-only reference material.</w:t>
        <w:br/>
        <w:t>3. Never modify, format, move, rename, delete, or generate files inside vibe-trading/.</w:t>
        <w:br/>
        <w:t>4. Never create a runtime import, package dependency, symlink, or build dependency from crypto-etl to vibe-trading.</w:t>
        <w:br/>
        <w:t>5. Patterns may be independently adapted only when they solve a documented crypto-etl requirement.</w:t>
        <w:br/>
        <w:br/>
        <w:t>MANDATORY FIRST STEPS</w:t>
        <w:br/>
        <w:t>1. Read the existing crypto-etl/AGENTS.md completely.</w:t>
        <w:br/>
        <w:t>2. Inspect the repository tree while excluding .git, node_modules, build, dist, coverage, virtual environments, caches, and generated artifacts.</w:t>
        <w:br/>
        <w:t>3. Inspect crypto-etl/index.html, strategy_research.py, historical_etl.py, etl.py, Supabase migrations, workflow files, and existing documentation.</w:t>
        <w:br/>
        <w:t>4. Check git status and identify uncommitted user work. Never overwrite or revert user changes.</w:t>
        <w:br/>
        <w:t>5. Summarize the current architecture and conflicts between existing documentation and these instructions before editing.</w:t>
        <w:br/>
        <w:br/>
        <w:t>CREATE OR UPDATE THESE GOVERNANCE FILES</w:t>
        <w:br/>
        <w:t>At the monorepo root unless an existing convention clearly requires crypto-etl/:</w:t>
        <w:br/>
        <w:t>- CLAUDE.md</w:t>
        <w:br/>
        <w:t>- AGENTS.md (integrate; do not blindly replace useful existing content)</w:t>
        <w:br/>
        <w:t>- PROJECT_STATUS.md</w:t>
        <w:br/>
        <w:t>- ROADMAP.md</w:t>
        <w:br/>
        <w:t>- .ai/scope.md</w:t>
        <w:br/>
        <w:t>- .ai/current-milestone.md</w:t>
        <w:br/>
        <w:t>- .ai/reference-policy.md</w:t>
        <w:br/>
        <w:t>- .ai/financial-safety.md</w:t>
        <w:br/>
        <w:t>- .ai/prohibited-actions.md</w:t>
        <w:br/>
        <w:t>- .ai/definition-of-done.md</w:t>
        <w:br/>
        <w:br/>
        <w:t>Under crypto-etl/docs/:</w:t>
        <w:br/>
        <w:t>- architecture/current-data-flow.md</w:t>
        <w:br/>
        <w:t>- architecture/target-data-flow.md</w:t>
        <w:br/>
        <w:t>- architecture/repository-map.md</w:t>
        <w:br/>
        <w:t>- decisions/ADR-0001-vanilla-js-frontend.md</w:t>
        <w:br/>
        <w:t>- decisions/ADR-0002-supabase-backend.md</w:t>
        <w:br/>
        <w:t>- decisions/ADR-0003-vibe-trading-read-only.md</w:t>
        <w:br/>
        <w:t>- decisions/ADR-0004-paper-trading-only.md</w:t>
        <w:br/>
        <w:t>- decisions/ADR-0005-transparent-strategies-first.md</w:t>
        <w:br/>
        <w:t>- decisions/ADR-0006-incremental-index-modularization.md</w:t>
        <w:br/>
        <w:t>- data-contracts/strategy-definition.md</w:t>
        <w:br/>
        <w:t>- data-contracts/research-result.md</w:t>
        <w:br/>
        <w:t>- data-contracts/signal-event.md</w:t>
        <w:br/>
        <w:t>- data-contracts/paper-portfolio.md</w:t>
        <w:br/>
        <w:t>- research/strategy-lifecycle.md</w:t>
        <w:br/>
        <w:t>- research/validation-policy.md</w:t>
        <w:br/>
        <w:t>- reference-adoption/README.md</w:t>
        <w:br/>
        <w:br/>
        <w:t>AGENTS.MD INTEGRATION REQUIREMENTS</w:t>
        <w:br/>
        <w:t>Preserve valid existing commands, project-specific pitfalls, data-flow notes, and unfinished work. Add a concise section near the beginning that:</w:t>
        <w:br/>
        <w:t>- declares crypto-etl as active and vibe-trading as read-only;</w:t>
        <w:br/>
        <w:t>- links to .ai/current-milestone.md as the primary anti-drift control;</w:t>
        <w:br/>
        <w:t>- requires reading relevant data contracts and ADRs before coding;</w:t>
        <w:br/>
        <w:t>- requires the smallest safe change;</w:t>
        <w:br/>
        <w:t>- forbids live trading, hidden credentials, fabricated results, unapproved rewrites, and modification of vibe-trading;</w:t>
        <w:br/>
        <w:t>- requires tests, final diff review, and PROJECT_STATUS.md updates;</w:t>
        <w:br/>
        <w:t>- says that detailed rules live in .ai/ and docs/ rather than duplicating all text in AGENTS.md.</w:t>
        <w:br/>
        <w:br/>
        <w:t>CURRENT MILESTONE</w:t>
        <w:br/>
        <w:t>Document and prepare one future research-to-chart vertical slice:</w:t>
        <w:br/>
        <w:t>- BTC/USDT</w:t>
        <w:br/>
        <w:t>- 4h timeframe</w:t>
        <w:br/>
        <w:t>- one existing transparent strategy</w:t>
        <w:br/>
        <w:t>- one versioned research result</w:t>
        <w:br/>
        <w:t>- one signal-event contract</w:t>
        <w:br/>
        <w:t>- chart BUY/SELL markers linked to research evidence</w:t>
        <w:br/>
        <w:t>- optional paper order linked by identifier</w:t>
        <w:br/>
        <w:br/>
        <w:t>EXPLICITLY OUT OF SCOPE</w:t>
        <w:br/>
        <w:t>- Runtime code changes</w:t>
        <w:br/>
        <w:t>- Database migrations</w:t>
        <w:br/>
        <w:t>- Live trading or broker execution</w:t>
        <w:br/>
        <w:t>- Machine learning or reinforcement learning</w:t>
        <w:br/>
        <w:t>- LangGraph, MCP, agent swarms, or new LLM providers</w:t>
        <w:br/>
        <w:t>- React/FastAPI restoration</w:t>
        <w:br/>
        <w:t>- UI redesign</w:t>
        <w:br/>
        <w:t>- Importing Vibe-Trading code or alpha libraries</w:t>
        <w:br/>
        <w:t>- Rewriting index.html</w:t>
        <w:br/>
        <w:br/>
        <w:t>DOCUMENTATION CONTENT REQUIREMENTS</w:t>
        <w:br/>
        <w:t>1. Describe the current flow from CCXT to Supabase, research, frontend signals, and paper trading.</w:t>
        <w:br/>
        <w:t>2. Identify where traceability is currently lost between strategy_results and chart markers.</w:t>
        <w:br/>
        <w:t>3. Document duplicated strategy/indicator logic between Python and JavaScript without changing it.</w:t>
        <w:br/>
        <w:t>4. Define the lifecycle: DRAFT -&gt; RESEARCHING -&gt; CANDIDATE -&gt; PAPER_APPROVED -&gt; ACTIVE_PAPER -&gt; PAUSED/RETIRED/REJECTED.</w:t>
        <w:br/>
        <w:t>5. Define a signal contract with signal_id, symbol, timeframe, candle_timestamp, value in [-1,1], classification, strategy_id, strategy_version, parameters, research_run_id, validation, reason_codes, and generated_at.</w:t>
        <w:br/>
        <w:t>6. State that the numeric signal value is not a guaranteed probability of profit.</w:t>
        <w:br/>
        <w:t>7. Recommend, but do not create, future tables for strategy definitions/versions/approvals, signal events, paper portfolios, cash ledger, strategy health, and data quality runs.</w:t>
        <w:br/>
        <w:t>8. Record open questions and assumptions instead of inventing missing implementation details.</w:t>
        <w:br/>
        <w:br/>
        <w:t>QUALITY AND SAFETY RULES</w:t>
        <w:br/>
        <w:t>- Never expose or print secrets, tokens, service-role keys, or exchange credentials.</w:t>
        <w:br/>
        <w:t>- Do not change RLS policies in this task.</w:t>
        <w:br/>
        <w:t>- Do not claim tests or validation ran unless they actually ran.</w:t>
        <w:br/>
        <w:t>- Use plain, concise Markdown with stable relative links.</w:t>
        <w:br/>
        <w:t>- Avoid duplicate or contradictory rules.</w:t>
        <w:br/>
        <w:t>- If existing documentation conflicts, preserve the existing statement, flag the conflict, and propose a resolution.</w:t>
        <w:br/>
        <w:t>- Keep the repository runnable exactly as it was before this documentation-only task.</w:t>
        <w:br/>
        <w:br/>
        <w:t>FINAL VERIFICATION</w:t>
        <w:br/>
        <w:t>1. Confirm no file under vibe-trading/ changed.</w:t>
        <w:br/>
        <w:t>2. Confirm no runtime source, workflow, dependency, SQL migration, or environment file changed.</w:t>
        <w:br/>
        <w:t>3. Validate all relative documentation links where practical.</w:t>
        <w:br/>
        <w:t>4. Review git diff for accidental secrets, duplication, scope drift, or overwritten user content.</w:t>
        <w:br/>
        <w:t>5. Return a concise report containing:</w:t>
        <w:br/>
        <w:t xml:space="preserve">   - files created;</w:t>
        <w:br/>
        <w:t xml:space="preserve">   - files updated;</w:t>
        <w:br/>
        <w:t xml:space="preserve">   - existing AGENTS.md sections preserved;</w:t>
        <w:br/>
        <w:t xml:space="preserve">   - conflicts or assumptions;</w:t>
        <w:br/>
        <w:t xml:space="preserve">   - validation performed;</w:t>
        <w:br/>
        <w:t xml:space="preserve">   - recommended next implementation task.</w:t>
        <w:br/>
        <w:br/>
        <w:t>Do not ask for confirmation between steps. If a location is ambiguous, inspect existing conventions and choose the least disruptive option, then document the assumption.</w:t>
      </w:r>
    </w:p>
    <w:p>
      <w:pPr>
        <w:pStyle w:val="Heading1"/>
      </w:pPr>
      <w:r>
        <w:t>9. Follow-up Implementation Prompt</w:t>
      </w:r>
    </w:p>
    <w:p>
      <w:r>
        <w:t>After the governance-only change is reviewed and committed, use this narrower prompt for the first implementation milestone.</w:t>
      </w:r>
    </w:p>
    <w:p>
      <w:pPr>
        <w:pStyle w:val="CodeBlock"/>
        <w:keepLines/>
      </w:pPr>
      <w:r>
        <w:rPr>
          <w:rFonts w:ascii="Consolas" w:hAnsi="Consolas"/>
          <w:color w:val="202830"/>
          <w:sz w:val="16"/>
        </w:rPr>
        <w:t>Read AGENTS.md, .ai/current-milestone.md, PROJECT_STATUS.md, all relevant ADRs, and the strategy/research/signal data contracts before editing.</w:t>
        <w:br/>
        <w:br/>
        <w:t>Implement only the smallest BTC/USDT 4h research-to-chart vertical slice defined by the current milestone.</w:t>
        <w:br/>
        <w:br/>
        <w:t>Required sequence:</w:t>
        <w:br/>
        <w:t>1. Inspect existing Python research output, Supabase strategy_results schema, JavaScript signal logic, and chart marker rendering.</w:t>
        <w:br/>
        <w:t>2. Select one existing transparent strategy with an out-of-sample result. Do not optimize or add a new strategy.</w:t>
        <w:br/>
        <w:t>3. Produce a written change plan listing affected files, data flow, compatibility risks, and tests.</w:t>
        <w:br/>
        <w:t>4. Implement the smallest adapter that maps the chosen result into the approved strategy-definition and signal-event contracts.</w:t>
        <w:br/>
        <w:t>5. Display BUY/SELL markers and an evidence panel containing strategy version, parameters, research run, validation type, and key metrics.</w:t>
        <w:br/>
        <w:t>6. Preserve all existing pairs, timeframes, indicators, research, and paper-trading behavior.</w:t>
        <w:br/>
        <w:t>7. Do not modify vibe-trading, add ML/MCP/agents, add live trading, restore React/FastAPI, or redesign the UI.</w:t>
        <w:br/>
        <w:t>8. Run relevant checks, inspect the final diff, update tests/documentation/PROJECT_STATUS.md, and disclose anything not verified.</w:t>
        <w:br/>
        <w:br/>
        <w:t>Stop the task if implementation would require exposing a service-role key, weakening RLS, or enabling real exchange execution. Report the blocker instead.</w:t>
      </w:r>
    </w:p>
    <w:p>
      <w:pPr>
        <w:pStyle w:val="Heading1"/>
      </w:pPr>
      <w:r>
        <w:t>10. Immediate Next Actions</w:t>
      </w:r>
    </w:p>
    <w:tbl>
      <w:tblPr>
        <w:tblStyle w:val="TableGrid"/>
        <w:tblW w:type="auto" w:w="0"/>
        <w:jc w:val="center"/>
        <w:tblLook w:firstColumn="1" w:firstRow="1" w:lastColumn="0" w:lastRow="0" w:noHBand="0" w:noVBand="1" w:val="04A0"/>
      </w:tblPr>
      <w:tblGrid>
        <w:gridCol w:w="3293"/>
        <w:gridCol w:w="3293"/>
        <w:gridCol w:w="3293"/>
      </w:tblGrid>
      <w:tr>
        <w:tc>
          <w:tcPr>
            <w:tcW w:type="dxa" w:w="936"/>
            <w:shd w:fill="173F5F"/>
            <w:tcMar>
              <w:top w:w="100" w:type="dxa"/>
              <w:start w:w="120" w:type="dxa"/>
              <w:bottom w:w="100" w:type="dxa"/>
              <w:end w:w="120" w:type="dxa"/>
            </w:tcMar>
            <w:vAlign w:val="center"/>
          </w:tcPr>
          <w:p>
            <w:pPr>
              <w:jc w:val="center"/>
            </w:pPr>
            <w:r>
              <w:rPr>
                <w:b/>
                <w:color w:val="FFFFFF"/>
                <w:sz w:val="18"/>
              </w:rPr>
              <w:t>Order</w:t>
            </w:r>
          </w:p>
        </w:tc>
        <w:tc>
          <w:tcPr>
            <w:tcW w:type="dxa" w:w="4968"/>
            <w:shd w:fill="173F5F"/>
            <w:tcMar>
              <w:top w:w="100" w:type="dxa"/>
              <w:start w:w="120" w:type="dxa"/>
              <w:bottom w:w="100" w:type="dxa"/>
              <w:end w:w="120" w:type="dxa"/>
            </w:tcMar>
            <w:vAlign w:val="center"/>
          </w:tcPr>
          <w:p>
            <w:pPr>
              <w:jc w:val="center"/>
            </w:pPr>
            <w:r>
              <w:rPr>
                <w:b/>
                <w:color w:val="FFFFFF"/>
                <w:sz w:val="18"/>
              </w:rPr>
              <w:t>Action</w:t>
            </w:r>
          </w:p>
        </w:tc>
        <w:tc>
          <w:tcPr>
            <w:tcW w:type="dxa" w:w="3240"/>
            <w:shd w:fill="173F5F"/>
            <w:tcMar>
              <w:top w:w="100" w:type="dxa"/>
              <w:start w:w="120" w:type="dxa"/>
              <w:bottom w:w="100" w:type="dxa"/>
              <w:end w:w="120" w:type="dxa"/>
            </w:tcMar>
            <w:vAlign w:val="center"/>
          </w:tcPr>
          <w:p>
            <w:pPr>
              <w:jc w:val="center"/>
            </w:pPr>
            <w:r>
              <w:rPr>
                <w:b/>
                <w:color w:val="FFFFFF"/>
                <w:sz w:val="18"/>
              </w:rPr>
              <w:t>Result</w:t>
            </w:r>
          </w:p>
        </w:tc>
      </w:tr>
      <w:tr>
        <w:tc>
          <w:tcPr>
            <w:tcW w:type="dxa" w:w="936"/>
            <w:tcMar>
              <w:top w:w="100" w:type="dxa"/>
              <w:start w:w="120" w:type="dxa"/>
              <w:bottom w:w="100" w:type="dxa"/>
              <w:end w:w="120" w:type="dxa"/>
            </w:tcMar>
            <w:vAlign w:val="center"/>
          </w:tcPr>
          <w:p>
            <w:pPr>
              <w:spacing w:after="0"/>
            </w:pPr>
            <w:r>
              <w:rPr>
                <w:sz w:val="17"/>
              </w:rPr>
              <w:t>1</w:t>
            </w:r>
          </w:p>
        </w:tc>
        <w:tc>
          <w:tcPr>
            <w:tcW w:type="dxa" w:w="4968"/>
            <w:tcMar>
              <w:top w:w="100" w:type="dxa"/>
              <w:start w:w="120" w:type="dxa"/>
              <w:bottom w:w="100" w:type="dxa"/>
              <w:end w:w="120" w:type="dxa"/>
            </w:tcMar>
            <w:vAlign w:val="center"/>
          </w:tcPr>
          <w:p>
            <w:pPr>
              <w:spacing w:after="0"/>
            </w:pPr>
            <w:r>
              <w:rPr>
                <w:sz w:val="17"/>
              </w:rPr>
              <w:t>Save this blueprint under the monorepo docs or references area.</w:t>
            </w:r>
          </w:p>
        </w:tc>
        <w:tc>
          <w:tcPr>
            <w:tcW w:type="dxa" w:w="3240"/>
            <w:tcMar>
              <w:top w:w="100" w:type="dxa"/>
              <w:start w:w="120" w:type="dxa"/>
              <w:bottom w:w="100" w:type="dxa"/>
              <w:end w:w="120" w:type="dxa"/>
            </w:tcMar>
            <w:vAlign w:val="center"/>
          </w:tcPr>
          <w:p>
            <w:pPr>
              <w:spacing w:after="0"/>
            </w:pPr>
            <w:r>
              <w:rPr>
                <w:sz w:val="17"/>
              </w:rPr>
              <w:t>Human-readable governing plan.</w:t>
            </w:r>
          </w:p>
        </w:tc>
      </w:tr>
      <w:tr>
        <w:tc>
          <w:tcPr>
            <w:tcW w:type="dxa" w:w="936"/>
            <w:tcMar>
              <w:top w:w="100" w:type="dxa"/>
              <w:start w:w="120" w:type="dxa"/>
              <w:bottom w:w="100" w:type="dxa"/>
              <w:end w:w="120" w:type="dxa"/>
            </w:tcMar>
            <w:vAlign w:val="center"/>
            <w:shd w:fill="F2F6F9"/>
          </w:tcPr>
          <w:p>
            <w:pPr>
              <w:spacing w:after="0"/>
            </w:pPr>
            <w:r>
              <w:rPr>
                <w:sz w:val="17"/>
              </w:rPr>
              <w:t>2</w:t>
            </w:r>
          </w:p>
        </w:tc>
        <w:tc>
          <w:tcPr>
            <w:tcW w:type="dxa" w:w="4968"/>
            <w:tcMar>
              <w:top w:w="100" w:type="dxa"/>
              <w:start w:w="120" w:type="dxa"/>
              <w:bottom w:w="100" w:type="dxa"/>
              <w:end w:w="120" w:type="dxa"/>
            </w:tcMar>
            <w:vAlign w:val="center"/>
            <w:shd w:fill="F2F6F9"/>
          </w:tcPr>
          <w:p>
            <w:pPr>
              <w:spacing w:after="0"/>
            </w:pPr>
            <w:r>
              <w:rPr>
                <w:sz w:val="17"/>
              </w:rPr>
              <w:t>Run the OpenCode governance prompt.</w:t>
            </w:r>
          </w:p>
        </w:tc>
        <w:tc>
          <w:tcPr>
            <w:tcW w:type="dxa" w:w="3240"/>
            <w:tcMar>
              <w:top w:w="100" w:type="dxa"/>
              <w:start w:w="120" w:type="dxa"/>
              <w:bottom w:w="100" w:type="dxa"/>
              <w:end w:w="120" w:type="dxa"/>
            </w:tcMar>
            <w:vAlign w:val="center"/>
            <w:shd w:fill="F2F6F9"/>
          </w:tcPr>
          <w:p>
            <w:pPr>
              <w:spacing w:after="0"/>
            </w:pPr>
            <w:r>
              <w:rPr>
                <w:sz w:val="17"/>
              </w:rPr>
              <w:t>Creates and integrates AI-facing Markdown without runtime changes.</w:t>
            </w:r>
          </w:p>
        </w:tc>
      </w:tr>
      <w:tr>
        <w:tc>
          <w:tcPr>
            <w:tcW w:type="dxa" w:w="936"/>
            <w:tcMar>
              <w:top w:w="100" w:type="dxa"/>
              <w:start w:w="120" w:type="dxa"/>
              <w:bottom w:w="100" w:type="dxa"/>
              <w:end w:w="120" w:type="dxa"/>
            </w:tcMar>
            <w:vAlign w:val="center"/>
          </w:tcPr>
          <w:p>
            <w:pPr>
              <w:spacing w:after="0"/>
            </w:pPr>
            <w:r>
              <w:rPr>
                <w:sz w:val="17"/>
              </w:rPr>
              <w:t>3</w:t>
            </w:r>
          </w:p>
        </w:tc>
        <w:tc>
          <w:tcPr>
            <w:tcW w:type="dxa" w:w="4968"/>
            <w:tcMar>
              <w:top w:w="100" w:type="dxa"/>
              <w:start w:w="120" w:type="dxa"/>
              <w:bottom w:w="100" w:type="dxa"/>
              <w:end w:w="120" w:type="dxa"/>
            </w:tcMar>
            <w:vAlign w:val="center"/>
          </w:tcPr>
          <w:p>
            <w:pPr>
              <w:spacing w:after="0"/>
            </w:pPr>
            <w:r>
              <w:rPr>
                <w:sz w:val="17"/>
              </w:rPr>
              <w:t>Review git diff, especially AGENTS.md and the no-change status of vibe-trading.</w:t>
            </w:r>
          </w:p>
        </w:tc>
        <w:tc>
          <w:tcPr>
            <w:tcW w:type="dxa" w:w="3240"/>
            <w:tcMar>
              <w:top w:w="100" w:type="dxa"/>
              <w:start w:w="120" w:type="dxa"/>
              <w:bottom w:w="100" w:type="dxa"/>
              <w:end w:w="120" w:type="dxa"/>
            </w:tcMar>
            <w:vAlign w:val="center"/>
          </w:tcPr>
          <w:p>
            <w:pPr>
              <w:spacing w:after="0"/>
            </w:pPr>
            <w:r>
              <w:rPr>
                <w:sz w:val="17"/>
              </w:rPr>
              <w:t>Protects existing rules and user work.</w:t>
            </w:r>
          </w:p>
        </w:tc>
      </w:tr>
      <w:tr>
        <w:tc>
          <w:tcPr>
            <w:tcW w:type="dxa" w:w="936"/>
            <w:tcMar>
              <w:top w:w="100" w:type="dxa"/>
              <w:start w:w="120" w:type="dxa"/>
              <w:bottom w:w="100" w:type="dxa"/>
              <w:end w:w="120" w:type="dxa"/>
            </w:tcMar>
            <w:vAlign w:val="center"/>
            <w:shd w:fill="F2F6F9"/>
          </w:tcPr>
          <w:p>
            <w:pPr>
              <w:spacing w:after="0"/>
            </w:pPr>
            <w:r>
              <w:rPr>
                <w:sz w:val="17"/>
              </w:rPr>
              <w:t>4</w:t>
            </w:r>
          </w:p>
        </w:tc>
        <w:tc>
          <w:tcPr>
            <w:tcW w:type="dxa" w:w="4968"/>
            <w:tcMar>
              <w:top w:w="100" w:type="dxa"/>
              <w:start w:w="120" w:type="dxa"/>
              <w:bottom w:w="100" w:type="dxa"/>
              <w:end w:w="120" w:type="dxa"/>
            </w:tcMar>
            <w:vAlign w:val="center"/>
            <w:shd w:fill="F2F6F9"/>
          </w:tcPr>
          <w:p>
            <w:pPr>
              <w:spacing w:after="0"/>
            </w:pPr>
            <w:r>
              <w:rPr>
                <w:sz w:val="17"/>
              </w:rPr>
              <w:t>Commit governance as a standalone commit.</w:t>
            </w:r>
          </w:p>
        </w:tc>
        <w:tc>
          <w:tcPr>
            <w:tcW w:type="dxa" w:w="3240"/>
            <w:tcMar>
              <w:top w:w="100" w:type="dxa"/>
              <w:start w:w="120" w:type="dxa"/>
              <w:bottom w:w="100" w:type="dxa"/>
              <w:end w:w="120" w:type="dxa"/>
            </w:tcMar>
            <w:vAlign w:val="center"/>
            <w:shd w:fill="F2F6F9"/>
          </w:tcPr>
          <w:p>
            <w:pPr>
              <w:spacing w:after="0"/>
            </w:pPr>
            <w:r>
              <w:rPr>
                <w:sz w:val="17"/>
              </w:rPr>
              <w:t>Clear rollback and audit boundary.</w:t>
            </w:r>
          </w:p>
        </w:tc>
      </w:tr>
      <w:tr>
        <w:tc>
          <w:tcPr>
            <w:tcW w:type="dxa" w:w="936"/>
            <w:tcMar>
              <w:top w:w="100" w:type="dxa"/>
              <w:start w:w="120" w:type="dxa"/>
              <w:bottom w:w="100" w:type="dxa"/>
              <w:end w:w="120" w:type="dxa"/>
            </w:tcMar>
            <w:vAlign w:val="center"/>
          </w:tcPr>
          <w:p>
            <w:pPr>
              <w:spacing w:after="0"/>
            </w:pPr>
            <w:r>
              <w:rPr>
                <w:sz w:val="17"/>
              </w:rPr>
              <w:t>5</w:t>
            </w:r>
          </w:p>
        </w:tc>
        <w:tc>
          <w:tcPr>
            <w:tcW w:type="dxa" w:w="4968"/>
            <w:tcMar>
              <w:top w:w="100" w:type="dxa"/>
              <w:start w:w="120" w:type="dxa"/>
              <w:bottom w:w="100" w:type="dxa"/>
              <w:end w:w="120" w:type="dxa"/>
            </w:tcMar>
            <w:vAlign w:val="center"/>
          </w:tcPr>
          <w:p>
            <w:pPr>
              <w:spacing w:after="0"/>
            </w:pPr>
            <w:r>
              <w:rPr>
                <w:sz w:val="17"/>
              </w:rPr>
              <w:t>Run the follow-up implementation prompt.</w:t>
            </w:r>
          </w:p>
        </w:tc>
        <w:tc>
          <w:tcPr>
            <w:tcW w:type="dxa" w:w="3240"/>
            <w:tcMar>
              <w:top w:w="100" w:type="dxa"/>
              <w:start w:w="120" w:type="dxa"/>
              <w:bottom w:w="100" w:type="dxa"/>
              <w:end w:w="120" w:type="dxa"/>
            </w:tcMar>
            <w:vAlign w:val="center"/>
          </w:tcPr>
          <w:p>
            <w:pPr>
              <w:spacing w:after="0"/>
            </w:pPr>
            <w:r>
              <w:rPr>
                <w:sz w:val="17"/>
              </w:rPr>
              <w:t>Builds one traceable BTC/USDT 4h vertical slice.</w:t>
            </w:r>
          </w:p>
        </w:tc>
      </w:tr>
      <w:tr>
        <w:tc>
          <w:tcPr>
            <w:tcW w:type="dxa" w:w="936"/>
            <w:tcMar>
              <w:top w:w="100" w:type="dxa"/>
              <w:start w:w="120" w:type="dxa"/>
              <w:bottom w:w="100" w:type="dxa"/>
              <w:end w:w="120" w:type="dxa"/>
            </w:tcMar>
            <w:vAlign w:val="center"/>
            <w:shd w:fill="F2F6F9"/>
          </w:tcPr>
          <w:p>
            <w:pPr>
              <w:spacing w:after="0"/>
            </w:pPr>
            <w:r>
              <w:rPr>
                <w:sz w:val="17"/>
              </w:rPr>
              <w:t>6</w:t>
            </w:r>
          </w:p>
        </w:tc>
        <w:tc>
          <w:tcPr>
            <w:tcW w:type="dxa" w:w="4968"/>
            <w:tcMar>
              <w:top w:w="100" w:type="dxa"/>
              <w:start w:w="120" w:type="dxa"/>
              <w:bottom w:w="100" w:type="dxa"/>
              <w:end w:w="120" w:type="dxa"/>
            </w:tcMar>
            <w:vAlign w:val="center"/>
            <w:shd w:fill="F2F6F9"/>
          </w:tcPr>
          <w:p>
            <w:pPr>
              <w:spacing w:after="0"/>
            </w:pPr>
            <w:r>
              <w:rPr>
                <w:sz w:val="17"/>
              </w:rPr>
              <w:t>Only after the slice works, address persistent paper cash accounting.</w:t>
            </w:r>
          </w:p>
        </w:tc>
        <w:tc>
          <w:tcPr>
            <w:tcW w:type="dxa" w:w="3240"/>
            <w:tcMar>
              <w:top w:w="100" w:type="dxa"/>
              <w:start w:w="120" w:type="dxa"/>
              <w:bottom w:w="100" w:type="dxa"/>
              <w:end w:w="120" w:type="dxa"/>
            </w:tcMar>
            <w:vAlign w:val="center"/>
            <w:shd w:fill="F2F6F9"/>
          </w:tcPr>
          <w:p>
            <w:pPr>
              <w:spacing w:after="0"/>
            </w:pPr>
            <w:r>
              <w:rPr>
                <w:sz w:val="17"/>
              </w:rPr>
              <w:t>Reliable paper-trading state.</w:t>
            </w:r>
          </w:p>
        </w:tc>
      </w:tr>
    </w:tbl>
    <w:p/>
    <w:tbl>
      <w:tblPr>
        <w:tblW w:type="auto" w:w="0"/>
        <w:jc w:val="center"/>
        <w:tblLayout w:type="fixed"/>
        <w:tblLook w:firstColumn="1" w:firstRow="1" w:lastColumn="0" w:lastRow="0" w:noHBand="0" w:noVBand="1" w:val="04A0"/>
      </w:tblPr>
      <w:tblGrid>
        <w:gridCol w:w="9878"/>
      </w:tblGrid>
      <w:tr>
        <w:tc>
          <w:tcPr>
            <w:tcW w:type="dxa" w:w="9360"/>
            <w:shd w:fill="D9EAD3"/>
            <w:tcMar>
              <w:top w:w="160" w:type="dxa"/>
              <w:start w:w="220" w:type="dxa"/>
              <w:bottom w:w="160" w:type="dxa"/>
              <w:end w:w="220" w:type="dxa"/>
            </w:tcMar>
          </w:tcPr>
          <w:p>
            <w:r>
              <w:rPr>
                <w:b/>
                <w:color w:val="144870"/>
              </w:rPr>
              <w:t>Final reminder</w:t>
              <w:br/>
            </w:r>
            <w:r>
              <w:t>The biggest risk is not missing technology. It is losing traceability while adding too many capabilities. Keep one active milestone, insist on contracts and evidence, and adopt only the smallest useful patterns.</w:t>
            </w:r>
          </w:p>
        </w:tc>
      </w:tr>
    </w:tbl>
    <w:p>
      <w:pPr>
        <w:spacing w:after="0"/>
      </w:pPr>
    </w:p>
    <w:sectPr w:rsidR="00FC693F" w:rsidRPr="0006063C" w:rsidSect="00034616">
      <w:headerReference w:type="default" r:id="rId9"/>
      <w:footerReference w:type="default" r:id="rId10"/>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Research and paper trading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TRADING-RESEARCH  /  AI INTEGRATION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F5F"/>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0639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CAE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F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shd w:fill="F1F4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Trading-Research AI Integration Blueprint</dc:title>
  <dc:subject>Architecture, governance, roadmap, and OpenCode prompts</dc:subject>
  <dc:creator>Fredrick Mahinay</dc:creator>
  <keywords/>
  <dc:description>generated by python-docx</dc:description>
  <lastModifiedBy>Fredrick Mahinay</lastModifiedBy>
  <revision>1</revision>
  <dcterms:created xsi:type="dcterms:W3CDTF">2026-07-27T11:40:48.9356883Z</dcterms:created>
  <dcterms:modified xsi:type="dcterms:W3CDTF">2026-07-27T11:40:48.9356883Z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7d4574-7375-4d17-b29c-6e4c6df0fcb0_Enabled">
    <vt:lpwstr>true</vt:lpwstr>
  </property>
  <property fmtid="{D5CDD505-2E9C-101B-9397-08002B2CF9AE}" pid="3" name="MSIP_Label_817d4574-7375-4d17-b29c-6e4c6df0fcb0_SetDate">
    <vt:lpwstr>2026-07-27T11:40:49Z</vt:lpwstr>
  </property>
  <property fmtid="{D5CDD505-2E9C-101B-9397-08002B2CF9AE}" pid="4" name="MSIP_Label_817d4574-7375-4d17-b29c-6e4c6df0fcb0_Method">
    <vt:lpwstr>Standard</vt:lpwstr>
  </property>
  <property fmtid="{D5CDD505-2E9C-101B-9397-08002B2CF9AE}" pid="5" name="MSIP_Label_817d4574-7375-4d17-b29c-6e4c6df0fcb0_Name">
    <vt:lpwstr>ADB Internal</vt:lpwstr>
  </property>
  <property fmtid="{D5CDD505-2E9C-101B-9397-08002B2CF9AE}" pid="6" name="MSIP_Label_817d4574-7375-4d17-b29c-6e4c6df0fcb0_SiteId">
    <vt:lpwstr>9495d6bb-41c2-4c58-848f-92e52cf3d640</vt:lpwstr>
  </property>
  <property fmtid="{D5CDD505-2E9C-101B-9397-08002B2CF9AE}" pid="7" name="MSIP_Label_817d4574-7375-4d17-b29c-6e4c6df0fcb0_ActionId">
    <vt:lpwstr>2f5d030a-b539-4fae-baaa-9d752e576ff7</vt:lpwstr>
  </property>
  <property fmtid="{D5CDD505-2E9C-101B-9397-08002B2CF9AE}" pid="8" name="MSIP_Label_817d4574-7375-4d17-b29c-6e4c6df0fcb0_ContentBits">
    <vt:lpwstr>0</vt:lpwstr>
  </property>
</Properties>
</file>