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731200" cy="1066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9028.07515397209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050"/>
        <w:gridCol w:w="540"/>
        <w:gridCol w:w="427.6586218801858"/>
        <w:gridCol w:w="702.1260956241856"/>
        <w:gridCol w:w="721.274989141209"/>
        <w:gridCol w:w="657.4453440844649"/>
        <w:gridCol w:w="612.7645925447439"/>
        <w:gridCol w:w="105"/>
        <w:gridCol w:w="1470"/>
        <w:gridCol w:w="772.3387051866042"/>
        <w:gridCol w:w="574.4668055106974"/>
        <w:tblGridChange w:id="0">
          <w:tblGrid>
            <w:gridCol w:w="1395"/>
            <w:gridCol w:w="1050"/>
            <w:gridCol w:w="540"/>
            <w:gridCol w:w="427.6586218801858"/>
            <w:gridCol w:w="702.1260956241856"/>
            <w:gridCol w:w="721.274989141209"/>
            <w:gridCol w:w="657.4453440844649"/>
            <w:gridCol w:w="612.7645925447439"/>
            <w:gridCol w:w="105"/>
            <w:gridCol w:w="1470"/>
            <w:gridCol w:w="772.3387051866042"/>
            <w:gridCol w:w="574.4668055106974"/>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pageBreakBefore w:val="0"/>
              <w:spacing w:after="240" w:before="240" w:lineRule="auto"/>
              <w:jc w:val="both"/>
              <w:rPr>
                <w:b w:val="1"/>
              </w:rPr>
            </w:pPr>
            <w:r w:rsidDel="00000000" w:rsidR="00000000" w:rsidRPr="00000000">
              <w:rPr>
                <w:b w:val="1"/>
                <w:rtl w:val="0"/>
              </w:rPr>
              <w:t xml:space="preserve">Nombre del alumno:</w:t>
            </w:r>
          </w:p>
        </w:tc>
        <w:tc>
          <w:tcPr>
            <w:gridSpan w:val="7"/>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after="240" w:before="240" w:lineRule="auto"/>
              <w:jc w:val="both"/>
              <w:rPr/>
            </w:pPr>
            <w:r w:rsidDel="00000000" w:rsidR="00000000" w:rsidRPr="00000000">
              <w:rPr>
                <w:rtl w:val="0"/>
              </w:rPr>
              <w:t xml:space="preserve">  David Alejandro López Torres</w:t>
            </w:r>
          </w:p>
        </w:tc>
        <w:tc>
          <w:tcPr>
            <w:gridSpan w:val="3"/>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1647825" cy="2009775"/>
                  <wp:effectExtent b="0" l="0" r="0" t="0"/>
                  <wp:docPr id="3" name="image3.jpg"/>
                  <a:graphic>
                    <a:graphicData uri="http://schemas.openxmlformats.org/drawingml/2006/picture">
                      <pic:pic>
                        <pic:nvPicPr>
                          <pic:cNvPr id="0" name="image3.jpg"/>
                          <pic:cNvPicPr preferRelativeResize="0"/>
                        </pic:nvPicPr>
                        <pic:blipFill>
                          <a:blip r:embed="rId7"/>
                          <a:srcRect b="21103" l="0" r="0" t="10389"/>
                          <a:stretch>
                            <a:fillRect/>
                          </a:stretch>
                        </pic:blipFill>
                        <pic:spPr>
                          <a:xfrm>
                            <a:off x="0" y="0"/>
                            <a:ext cx="1647825" cy="2009775"/>
                          </a:xfrm>
                          <a:prstGeom prst="rect"/>
                          <a:ln/>
                        </pic:spPr>
                      </pic:pic>
                    </a:graphicData>
                  </a:graphic>
                </wp:inline>
              </w:drawing>
            </w: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before="240" w:lineRule="auto"/>
              <w:jc w:val="both"/>
              <w:rPr>
                <w:b w:val="1"/>
              </w:rPr>
            </w:pPr>
            <w:r w:rsidDel="00000000" w:rsidR="00000000" w:rsidRPr="00000000">
              <w:rPr>
                <w:b w:val="1"/>
                <w:rtl w:val="0"/>
              </w:rPr>
              <w:t xml:space="preserve">Registro</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240" w:before="240" w:lineRule="auto"/>
              <w:jc w:val="both"/>
              <w:rPr/>
            </w:pPr>
            <w:r w:rsidDel="00000000" w:rsidR="00000000" w:rsidRPr="00000000">
              <w:rPr>
                <w:rtl w:val="0"/>
              </w:rPr>
              <w:t xml:space="preserve"> 17300155</w:t>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rPr/>
            </w:pP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240" w:before="240" w:lineRule="auto"/>
              <w:jc w:val="both"/>
              <w:rPr>
                <w:b w:val="1"/>
              </w:rPr>
            </w:pPr>
            <w:r w:rsidDel="00000000" w:rsidR="00000000" w:rsidRPr="00000000">
              <w:rPr>
                <w:b w:val="1"/>
                <w:rtl w:val="0"/>
              </w:rPr>
              <w:t xml:space="preserve">Carrera:</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after="240" w:before="240" w:lineRule="auto"/>
              <w:jc w:val="both"/>
              <w:rPr/>
            </w:pPr>
            <w:r w:rsidDel="00000000" w:rsidR="00000000" w:rsidRPr="00000000">
              <w:rPr>
                <w:rtl w:val="0"/>
              </w:rPr>
              <w:t xml:space="preserve">Desarrollo de Software</w:t>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after="240" w:before="240" w:lineRule="auto"/>
              <w:jc w:val="both"/>
              <w:rPr>
                <w:b w:val="1"/>
              </w:rPr>
            </w:pPr>
            <w:r w:rsidDel="00000000" w:rsidR="00000000" w:rsidRPr="00000000">
              <w:rPr>
                <w:b w:val="1"/>
                <w:rtl w:val="0"/>
              </w:rPr>
              <w:t xml:space="preserve">Materia:</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after="240" w:before="240" w:lineRule="auto"/>
              <w:jc w:val="both"/>
              <w:rPr/>
            </w:pPr>
            <w:r w:rsidDel="00000000" w:rsidR="00000000" w:rsidRPr="00000000">
              <w:rPr>
                <w:rtl w:val="0"/>
              </w:rPr>
              <w:t xml:space="preserve">  Seguridad en Software</w:t>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240" w:before="240" w:lineRule="auto"/>
              <w:jc w:val="both"/>
              <w:rPr>
                <w:b w:val="1"/>
              </w:rPr>
            </w:pPr>
            <w:r w:rsidDel="00000000" w:rsidR="00000000" w:rsidRPr="00000000">
              <w:rPr>
                <w:b w:val="1"/>
                <w:rtl w:val="0"/>
              </w:rPr>
              <w:t xml:space="preserve">Clave: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240" w:before="240" w:lineRule="auto"/>
              <w:jc w:val="both"/>
              <w:rPr/>
            </w:pPr>
            <w:r w:rsidDel="00000000" w:rsidR="00000000" w:rsidRPr="00000000">
              <w:rPr>
                <w:rtl w:val="0"/>
              </w:rPr>
              <w:t xml:space="preserve"> MPF3308DSO</w:t>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240" w:before="240" w:lineRule="auto"/>
              <w:jc w:val="both"/>
              <w:rPr>
                <w:b w:val="1"/>
              </w:rPr>
            </w:pPr>
            <w:r w:rsidDel="00000000" w:rsidR="00000000" w:rsidRPr="00000000">
              <w:rPr>
                <w:b w:val="1"/>
                <w:rtl w:val="0"/>
              </w:rPr>
              <w:t xml:space="preserve">Grupo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40" w:before="240" w:lineRule="auto"/>
              <w:jc w:val="both"/>
              <w:rPr/>
            </w:pPr>
            <w:r w:rsidDel="00000000" w:rsidR="00000000" w:rsidRPr="00000000">
              <w:rPr>
                <w:rtl w:val="0"/>
              </w:rPr>
              <w:t xml:space="preserve"> 8D1</w:t>
            </w:r>
          </w:p>
        </w:tc>
        <w:tc>
          <w:tcPr>
            <w:gridSpan w:val="3"/>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after="240" w:before="240" w:lineRule="auto"/>
              <w:jc w:val="both"/>
              <w:rPr>
                <w:b w:val="1"/>
              </w:rPr>
            </w:pPr>
            <w:r w:rsidDel="00000000" w:rsidR="00000000" w:rsidRPr="00000000">
              <w:rPr>
                <w:b w:val="1"/>
                <w:rtl w:val="0"/>
              </w:rPr>
              <w:t xml:space="preserve">Semestre: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after="240" w:before="240" w:lineRule="auto"/>
              <w:jc w:val="both"/>
              <w:rPr/>
            </w:pPr>
            <w:r w:rsidDel="00000000" w:rsidR="00000000" w:rsidRPr="00000000">
              <w:rPr>
                <w:rtl w:val="0"/>
              </w:rPr>
              <w:t xml:space="preserve"> 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40" w:before="240" w:lineRule="auto"/>
              <w:jc w:val="both"/>
              <w:rPr>
                <w:b w:val="1"/>
              </w:rPr>
            </w:pPr>
            <w:r w:rsidDel="00000000" w:rsidR="00000000" w:rsidRPr="00000000">
              <w:rPr>
                <w:b w:val="1"/>
                <w:rtl w:val="0"/>
              </w:rPr>
              <w:t xml:space="preserve">Profesor:</w:t>
            </w:r>
          </w:p>
        </w:tc>
        <w:tc>
          <w:tcPr>
            <w:gridSpan w:val="11"/>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after="240" w:before="240" w:lineRule="auto"/>
              <w:jc w:val="both"/>
              <w:rPr/>
            </w:pPr>
            <w:r w:rsidDel="00000000" w:rsidR="00000000" w:rsidRPr="00000000">
              <w:rPr>
                <w:rtl w:val="0"/>
              </w:rPr>
              <w:t xml:space="preserve"> Ing. Luis René Duran Hernadez.</w:t>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Foto de credencial:</w:t>
      </w:r>
    </w:p>
    <w:p w:rsidR="00000000" w:rsidDel="00000000" w:rsidP="00000000" w:rsidRDefault="00000000" w:rsidRPr="00000000" w14:paraId="0000004D">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209550</wp:posOffset>
            </wp:positionV>
            <wp:extent cx="2172904" cy="33909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172904" cy="3390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2121553" cy="3386325"/>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121553" cy="3386325"/>
                    </a:xfrm>
                    <a:prstGeom prst="rect"/>
                    <a:ln/>
                  </pic:spPr>
                </pic:pic>
              </a:graphicData>
            </a:graphic>
          </wp:anchor>
        </w:drawing>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Title"/>
        <w:pageBreakBefore w:val="0"/>
        <w:jc w:val="both"/>
        <w:rPr/>
      </w:pPr>
      <w:bookmarkStart w:colFirst="0" w:colLast="0" w:name="_ydgfjsrdrekw" w:id="0"/>
      <w:bookmarkEnd w:id="0"/>
      <w:r w:rsidDel="00000000" w:rsidR="00000000" w:rsidRPr="00000000">
        <w:rPr>
          <w:rtl w:val="0"/>
        </w:rPr>
        <w:t xml:space="preserve">Actividad</w:t>
      </w:r>
    </w:p>
    <w:p w:rsidR="00000000" w:rsidDel="00000000" w:rsidP="00000000" w:rsidRDefault="00000000" w:rsidRPr="00000000" w14:paraId="00000060">
      <w:pPr>
        <w:pageBreakBefore w:val="0"/>
        <w:jc w:val="both"/>
        <w:rPr/>
      </w:pPr>
      <w:r w:rsidDel="00000000" w:rsidR="00000000" w:rsidRPr="00000000">
        <w:rPr>
          <w:rtl w:val="0"/>
        </w:rPr>
      </w:r>
    </w:p>
    <w:p w:rsidR="00000000" w:rsidDel="00000000" w:rsidP="00000000" w:rsidRDefault="00000000" w:rsidRPr="00000000" w14:paraId="00000061">
      <w:pPr>
        <w:pageBreakBefore w:val="0"/>
        <w:numPr>
          <w:ilvl w:val="0"/>
          <w:numId w:val="2"/>
        </w:numPr>
        <w:ind w:left="720" w:hanging="360"/>
        <w:jc w:val="both"/>
        <w:rPr>
          <w:b w:val="1"/>
        </w:rPr>
      </w:pPr>
      <w:r w:rsidDel="00000000" w:rsidR="00000000" w:rsidRPr="00000000">
        <w:rPr>
          <w:b w:val="1"/>
          <w:rtl w:val="0"/>
        </w:rPr>
        <w:t xml:space="preserve">Investigue cuáles son las normas que rigen la ética del informático en México</w:t>
      </w:r>
    </w:p>
    <w:p w:rsidR="00000000" w:rsidDel="00000000" w:rsidP="00000000" w:rsidRDefault="00000000" w:rsidRPr="00000000" w14:paraId="00000062">
      <w:pPr>
        <w:pageBreakBefore w:val="0"/>
        <w:ind w:left="0" w:firstLine="0"/>
        <w:jc w:val="both"/>
        <w:rPr/>
      </w:pPr>
      <w:r w:rsidDel="00000000" w:rsidR="00000000" w:rsidRPr="00000000">
        <w:rPr>
          <w:rtl w:val="0"/>
        </w:rPr>
      </w:r>
    </w:p>
    <w:p w:rsidR="00000000" w:rsidDel="00000000" w:rsidP="00000000" w:rsidRDefault="00000000" w:rsidRPr="00000000" w14:paraId="00000063">
      <w:pPr>
        <w:pageBreakBefore w:val="0"/>
        <w:ind w:left="0" w:firstLine="0"/>
        <w:jc w:val="both"/>
        <w:rPr/>
      </w:pPr>
      <w:r w:rsidDel="00000000" w:rsidR="00000000" w:rsidRPr="00000000">
        <w:rPr>
          <w:rtl w:val="0"/>
        </w:rPr>
        <w:t xml:space="preserve">En México existe el llamado “Código de </w:t>
      </w:r>
      <w:r w:rsidDel="00000000" w:rsidR="00000000" w:rsidRPr="00000000">
        <w:rPr>
          <w:rtl w:val="0"/>
        </w:rPr>
        <w:t xml:space="preserve">Ética y Conducta Profesional de ACM</w:t>
      </w:r>
      <w:r w:rsidDel="00000000" w:rsidR="00000000" w:rsidRPr="00000000">
        <w:rPr>
          <w:rtl w:val="0"/>
        </w:rPr>
        <w:t xml:space="preserve">”.</w:t>
      </w:r>
    </w:p>
    <w:p w:rsidR="00000000" w:rsidDel="00000000" w:rsidP="00000000" w:rsidRDefault="00000000" w:rsidRPr="00000000" w14:paraId="00000064">
      <w:pPr>
        <w:pageBreakBefore w:val="0"/>
        <w:ind w:left="0" w:firstLine="0"/>
        <w:jc w:val="both"/>
        <w:rPr/>
      </w:pPr>
      <w:r w:rsidDel="00000000" w:rsidR="00000000" w:rsidRPr="00000000">
        <w:rPr>
          <w:rtl w:val="0"/>
        </w:rPr>
      </w:r>
    </w:p>
    <w:p w:rsidR="00000000" w:rsidDel="00000000" w:rsidP="00000000" w:rsidRDefault="00000000" w:rsidRPr="00000000" w14:paraId="00000065">
      <w:pPr>
        <w:pageBreakBefore w:val="0"/>
        <w:numPr>
          <w:ilvl w:val="0"/>
          <w:numId w:val="2"/>
        </w:numPr>
        <w:spacing w:after="240" w:before="240" w:lineRule="auto"/>
        <w:ind w:left="720" w:hanging="360"/>
        <w:jc w:val="both"/>
        <w:rPr>
          <w:b w:val="1"/>
        </w:rPr>
      </w:pPr>
      <w:r w:rsidDel="00000000" w:rsidR="00000000" w:rsidRPr="00000000">
        <w:rPr>
          <w:b w:val="1"/>
          <w:rtl w:val="0"/>
        </w:rPr>
        <w:t xml:space="preserve">Identifica los principios del código ético relacionados con la situación descrita en cada uno de los siguientes supuestos</w:t>
      </w:r>
    </w:p>
    <w:p w:rsidR="00000000" w:rsidDel="00000000" w:rsidP="00000000" w:rsidRDefault="00000000" w:rsidRPr="00000000" w14:paraId="00000066">
      <w:pPr>
        <w:pageBreakBefore w:val="0"/>
        <w:spacing w:after="240" w:before="240" w:lineRule="auto"/>
        <w:jc w:val="both"/>
        <w:rPr>
          <w:b w:val="1"/>
          <w:color w:val="073763"/>
        </w:rPr>
      </w:pPr>
      <w:r w:rsidDel="00000000" w:rsidR="00000000" w:rsidRPr="00000000">
        <w:rPr>
          <w:rtl w:val="0"/>
        </w:rPr>
      </w:r>
    </w:p>
    <w:p w:rsidR="00000000" w:rsidDel="00000000" w:rsidP="00000000" w:rsidRDefault="00000000" w:rsidRPr="00000000" w14:paraId="00000067">
      <w:pPr>
        <w:pageBreakBefore w:val="0"/>
        <w:spacing w:after="240" w:before="240" w:lineRule="auto"/>
        <w:jc w:val="both"/>
        <w:rPr>
          <w:b w:val="1"/>
          <w:color w:val="073763"/>
        </w:rPr>
      </w:pPr>
      <w:r w:rsidDel="00000000" w:rsidR="00000000" w:rsidRPr="00000000">
        <w:rPr>
          <w:b w:val="1"/>
          <w:color w:val="073763"/>
          <w:rtl w:val="0"/>
        </w:rPr>
        <w:t xml:space="preserve">Lista de principios:</w:t>
      </w:r>
    </w:p>
    <w:p w:rsidR="00000000" w:rsidDel="00000000" w:rsidP="00000000" w:rsidRDefault="00000000" w:rsidRPr="00000000" w14:paraId="00000068">
      <w:pPr>
        <w:pageBreakBefore w:val="0"/>
        <w:numPr>
          <w:ilvl w:val="0"/>
          <w:numId w:val="1"/>
        </w:numPr>
        <w:spacing w:after="0" w:afterAutospacing="0" w:before="240" w:lineRule="auto"/>
        <w:ind w:left="720" w:hanging="360"/>
        <w:jc w:val="both"/>
        <w:rPr>
          <w:u w:val="none"/>
        </w:rPr>
      </w:pPr>
      <w:r w:rsidDel="00000000" w:rsidR="00000000" w:rsidRPr="00000000">
        <w:rPr>
          <w:b w:val="1"/>
          <w:rtl w:val="0"/>
        </w:rPr>
        <w:t xml:space="preserve">Sociedad:</w:t>
      </w:r>
      <w:r w:rsidDel="00000000" w:rsidR="00000000" w:rsidRPr="00000000">
        <w:rPr>
          <w:rtl w:val="0"/>
        </w:rPr>
        <w:t xml:space="preserve"> Los ingenieros de software actuarán en forma congruente con el interés social.</w:t>
        <w:br w:type="textWrapping"/>
      </w:r>
    </w:p>
    <w:p w:rsidR="00000000" w:rsidDel="00000000" w:rsidP="00000000" w:rsidRDefault="00000000" w:rsidRPr="00000000" w14:paraId="00000069">
      <w:pPr>
        <w:pageBreakBefore w:val="0"/>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Cliente y Empresario:</w:t>
      </w:r>
      <w:r w:rsidDel="00000000" w:rsidR="00000000" w:rsidRPr="00000000">
        <w:rPr>
          <w:rtl w:val="0"/>
        </w:rPr>
        <w:t xml:space="preserve"> Los ingenieros de software actuarán de manera que se concilien los mejores intereses de sus clientes y empresarios, congruentemente con el interés social.</w:t>
        <w:br w:type="textWrapping"/>
      </w:r>
    </w:p>
    <w:p w:rsidR="00000000" w:rsidDel="00000000" w:rsidP="00000000" w:rsidRDefault="00000000" w:rsidRPr="00000000" w14:paraId="0000006A">
      <w:pPr>
        <w:pageBreakBefore w:val="0"/>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Producto</w:t>
      </w:r>
      <w:r w:rsidDel="00000000" w:rsidR="00000000" w:rsidRPr="00000000">
        <w:rPr>
          <w:rtl w:val="0"/>
        </w:rPr>
        <w:t xml:space="preserve">: Los ingenieros de software deben asegurar que sus productos y modificaciones correspondientes cumplen los estándares profesionales más altos posibles.</w:t>
        <w:br w:type="textWrapping"/>
      </w:r>
    </w:p>
    <w:p w:rsidR="00000000" w:rsidDel="00000000" w:rsidP="00000000" w:rsidRDefault="00000000" w:rsidRPr="00000000" w14:paraId="0000006B">
      <w:pPr>
        <w:pageBreakBefore w:val="0"/>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Juicio</w:t>
      </w:r>
      <w:r w:rsidDel="00000000" w:rsidR="00000000" w:rsidRPr="00000000">
        <w:rPr>
          <w:rtl w:val="0"/>
        </w:rPr>
        <w:t xml:space="preserve">: Los ingenieros de software mantendrán integridad e independencia en su juicio profesional</w:t>
        <w:br w:type="textWrapping"/>
      </w:r>
    </w:p>
    <w:p w:rsidR="00000000" w:rsidDel="00000000" w:rsidP="00000000" w:rsidRDefault="00000000" w:rsidRPr="00000000" w14:paraId="0000006C">
      <w:pPr>
        <w:pageBreakBefore w:val="0"/>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Administración</w:t>
      </w:r>
      <w:r w:rsidDel="00000000" w:rsidR="00000000" w:rsidRPr="00000000">
        <w:rPr>
          <w:rtl w:val="0"/>
        </w:rPr>
        <w:t xml:space="preserve">: Los ingenieros de software, gerentes y líderes promoverán y se suscribirán a un enfoque ético en la administración del desarrollo y mantenimiento de software.</w:t>
        <w:br w:type="textWrapping"/>
      </w:r>
    </w:p>
    <w:p w:rsidR="00000000" w:rsidDel="00000000" w:rsidP="00000000" w:rsidRDefault="00000000" w:rsidRPr="00000000" w14:paraId="0000006D">
      <w:pPr>
        <w:pageBreakBefore w:val="0"/>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Profesión</w:t>
      </w:r>
      <w:r w:rsidDel="00000000" w:rsidR="00000000" w:rsidRPr="00000000">
        <w:rPr>
          <w:rtl w:val="0"/>
        </w:rPr>
        <w:t xml:space="preserve">: Los ingenieros de software incrementarán la integridad y reputación de la profesión congruentemente con el interés social.</w:t>
        <w:br w:type="textWrapping"/>
      </w:r>
    </w:p>
    <w:p w:rsidR="00000000" w:rsidDel="00000000" w:rsidP="00000000" w:rsidRDefault="00000000" w:rsidRPr="00000000" w14:paraId="0000006E">
      <w:pPr>
        <w:pageBreakBefore w:val="0"/>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Colegas</w:t>
      </w:r>
      <w:r w:rsidDel="00000000" w:rsidR="00000000" w:rsidRPr="00000000">
        <w:rPr>
          <w:rtl w:val="0"/>
        </w:rPr>
        <w:t xml:space="preserve">: Los ingenieros de software apoyarán y serán justos con sus colegas.</w:t>
        <w:br w:type="textWrapping"/>
      </w:r>
    </w:p>
    <w:p w:rsidR="00000000" w:rsidDel="00000000" w:rsidP="00000000" w:rsidRDefault="00000000" w:rsidRPr="00000000" w14:paraId="0000006F">
      <w:pPr>
        <w:pageBreakBefore w:val="0"/>
        <w:numPr>
          <w:ilvl w:val="0"/>
          <w:numId w:val="1"/>
        </w:numPr>
        <w:spacing w:after="240" w:before="0" w:beforeAutospacing="0" w:lineRule="auto"/>
        <w:ind w:left="720" w:hanging="360"/>
        <w:jc w:val="both"/>
        <w:rPr>
          <w:u w:val="none"/>
        </w:rPr>
      </w:pPr>
      <w:r w:rsidDel="00000000" w:rsidR="00000000" w:rsidRPr="00000000">
        <w:rPr>
          <w:b w:val="1"/>
          <w:rtl w:val="0"/>
        </w:rPr>
        <w:t xml:space="preserve">Personal</w:t>
      </w:r>
      <w:r w:rsidDel="00000000" w:rsidR="00000000" w:rsidRPr="00000000">
        <w:rPr>
          <w:rtl w:val="0"/>
        </w:rPr>
        <w:t xml:space="preserve">: Los ingenieros de software participarán toda su vida en el aprendizaje relacionado con la práctica de su profesión y promoverán un enfoque ético en la práctica de la profesión.</w:t>
      </w:r>
    </w:p>
    <w:p w:rsidR="00000000" w:rsidDel="00000000" w:rsidP="00000000" w:rsidRDefault="00000000" w:rsidRPr="00000000" w14:paraId="00000070">
      <w:pPr>
        <w:pageBreakBefore w:val="0"/>
        <w:spacing w:after="240" w:before="240" w:lineRule="auto"/>
        <w:ind w:left="0" w:firstLine="0"/>
        <w:jc w:val="both"/>
        <w:rPr>
          <w:b w:val="1"/>
          <w:color w:val="073763"/>
        </w:rPr>
      </w:pPr>
      <w:r w:rsidDel="00000000" w:rsidR="00000000" w:rsidRPr="00000000">
        <w:br w:type="page"/>
      </w:r>
      <w:r w:rsidDel="00000000" w:rsidR="00000000" w:rsidRPr="00000000">
        <w:rPr>
          <w:rtl w:val="0"/>
        </w:rPr>
      </w:r>
    </w:p>
    <w:p w:rsidR="00000000" w:rsidDel="00000000" w:rsidP="00000000" w:rsidRDefault="00000000" w:rsidRPr="00000000" w14:paraId="00000071">
      <w:pPr>
        <w:pageBreakBefore w:val="0"/>
        <w:spacing w:after="240" w:before="240" w:lineRule="auto"/>
        <w:ind w:left="0" w:firstLine="0"/>
        <w:jc w:val="both"/>
        <w:rPr>
          <w:b w:val="1"/>
          <w:color w:val="073763"/>
        </w:rPr>
      </w:pPr>
      <w:r w:rsidDel="00000000" w:rsidR="00000000" w:rsidRPr="00000000">
        <w:rPr>
          <w:b w:val="1"/>
          <w:color w:val="073763"/>
          <w:rtl w:val="0"/>
        </w:rPr>
        <w:t xml:space="preserve">Lista de supuestos:</w:t>
      </w:r>
    </w:p>
    <w:p w:rsidR="00000000" w:rsidDel="00000000" w:rsidP="00000000" w:rsidRDefault="00000000" w:rsidRPr="00000000" w14:paraId="00000072">
      <w:pPr>
        <w:pageBreakBefore w:val="0"/>
        <w:numPr>
          <w:ilvl w:val="0"/>
          <w:numId w:val="3"/>
        </w:numPr>
        <w:spacing w:after="0" w:afterAutospacing="0" w:before="240" w:lineRule="auto"/>
        <w:ind w:left="720" w:hanging="360"/>
        <w:jc w:val="both"/>
        <w:rPr>
          <w:u w:val="none"/>
        </w:rPr>
      </w:pPr>
      <w:r w:rsidDel="00000000" w:rsidR="00000000" w:rsidRPr="00000000">
        <w:rPr>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br w:type="textWrapping"/>
      </w:r>
    </w:p>
    <w:p w:rsidR="00000000" w:rsidDel="00000000" w:rsidP="00000000" w:rsidRDefault="00000000" w:rsidRPr="00000000" w14:paraId="00000073">
      <w:pPr>
        <w:pageBreakBefore w:val="0"/>
        <w:numPr>
          <w:ilvl w:val="0"/>
          <w:numId w:val="3"/>
        </w:numPr>
        <w:spacing w:after="0" w:afterAutospacing="0" w:before="0" w:beforeAutospacing="0" w:lineRule="auto"/>
        <w:ind w:left="720" w:hanging="360"/>
        <w:jc w:val="both"/>
        <w:rPr>
          <w:u w:val="none"/>
        </w:rPr>
      </w:pPr>
      <w:r w:rsidDel="00000000" w:rsidR="00000000" w:rsidRPr="00000000">
        <w:rPr>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br w:type="textWrapping"/>
      </w:r>
    </w:p>
    <w:p w:rsidR="00000000" w:rsidDel="00000000" w:rsidP="00000000" w:rsidRDefault="00000000" w:rsidRPr="00000000" w14:paraId="00000074">
      <w:pPr>
        <w:pageBreakBefore w:val="0"/>
        <w:numPr>
          <w:ilvl w:val="0"/>
          <w:numId w:val="3"/>
        </w:numPr>
        <w:spacing w:after="0" w:afterAutospacing="0" w:before="0" w:beforeAutospacing="0" w:lineRule="auto"/>
        <w:ind w:left="720" w:hanging="360"/>
        <w:jc w:val="both"/>
        <w:rPr>
          <w:u w:val="none"/>
        </w:rPr>
      </w:pPr>
      <w:r w:rsidDel="00000000" w:rsidR="00000000" w:rsidRPr="00000000">
        <w:rPr>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br w:type="textWrapping"/>
      </w:r>
    </w:p>
    <w:p w:rsidR="00000000" w:rsidDel="00000000" w:rsidP="00000000" w:rsidRDefault="00000000" w:rsidRPr="00000000" w14:paraId="00000075">
      <w:pPr>
        <w:pageBreakBefore w:val="0"/>
        <w:numPr>
          <w:ilvl w:val="0"/>
          <w:numId w:val="3"/>
        </w:numPr>
        <w:spacing w:after="0" w:afterAutospacing="0" w:before="0" w:beforeAutospacing="0" w:lineRule="auto"/>
        <w:ind w:left="720" w:hanging="360"/>
        <w:jc w:val="both"/>
        <w:rPr>
          <w:u w:val="none"/>
        </w:rPr>
      </w:pPr>
      <w:r w:rsidDel="00000000" w:rsidR="00000000" w:rsidRPr="00000000">
        <w:rPr>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 </w:t>
        <w:br w:type="textWrapping"/>
      </w:r>
    </w:p>
    <w:p w:rsidR="00000000" w:rsidDel="00000000" w:rsidP="00000000" w:rsidRDefault="00000000" w:rsidRPr="00000000" w14:paraId="00000076">
      <w:pPr>
        <w:pageBreakBefore w:val="0"/>
        <w:numPr>
          <w:ilvl w:val="0"/>
          <w:numId w:val="3"/>
        </w:numPr>
        <w:spacing w:after="0" w:afterAutospacing="0" w:before="0" w:beforeAutospacing="0" w:lineRule="auto"/>
        <w:ind w:left="720" w:hanging="360"/>
        <w:jc w:val="both"/>
        <w:rPr>
          <w:u w:val="none"/>
        </w:rPr>
      </w:pPr>
      <w:r w:rsidDel="00000000" w:rsidR="00000000" w:rsidRPr="00000000">
        <w:rPr>
          <w:rtl w:val="0"/>
        </w:rPr>
        <w:t xml:space="preserve">Un profesional TI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br w:type="textWrapping"/>
      </w:r>
    </w:p>
    <w:p w:rsidR="00000000" w:rsidDel="00000000" w:rsidP="00000000" w:rsidRDefault="00000000" w:rsidRPr="00000000" w14:paraId="00000077">
      <w:pPr>
        <w:pageBreakBefore w:val="0"/>
        <w:numPr>
          <w:ilvl w:val="0"/>
          <w:numId w:val="3"/>
        </w:numPr>
        <w:spacing w:after="240" w:before="0" w:beforeAutospacing="0" w:lineRule="auto"/>
        <w:ind w:left="720" w:hanging="360"/>
        <w:jc w:val="both"/>
        <w:rPr>
          <w:u w:val="none"/>
        </w:rPr>
      </w:pPr>
      <w:r w:rsidDel="00000000" w:rsidR="00000000" w:rsidRPr="00000000">
        <w:rPr>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w:t>
        <w:br w:type="textWrapping"/>
      </w:r>
    </w:p>
    <w:p w:rsidR="00000000" w:rsidDel="00000000" w:rsidP="00000000" w:rsidRDefault="00000000" w:rsidRPr="00000000" w14:paraId="00000078">
      <w:pPr>
        <w:pageBreakBefore w:val="0"/>
        <w:spacing w:after="240" w:before="240" w:lineRule="auto"/>
        <w:ind w:left="720" w:firstLine="0"/>
        <w:jc w:val="both"/>
        <w:rPr/>
      </w:pPr>
      <w:r w:rsidDel="00000000" w:rsidR="00000000" w:rsidRPr="00000000">
        <w:rPr>
          <w:rtl w:val="0"/>
        </w:rPr>
      </w:r>
    </w:p>
    <w:p w:rsidR="00000000" w:rsidDel="00000000" w:rsidP="00000000" w:rsidRDefault="00000000" w:rsidRPr="00000000" w14:paraId="00000079">
      <w:pPr>
        <w:pageBreakBefore w:val="0"/>
        <w:numPr>
          <w:ilvl w:val="0"/>
          <w:numId w:val="3"/>
        </w:numPr>
        <w:spacing w:after="240" w:before="240" w:lineRule="auto"/>
        <w:ind w:left="720" w:hanging="360"/>
        <w:jc w:val="both"/>
        <w:rPr>
          <w:u w:val="none"/>
        </w:rPr>
      </w:pPr>
      <w:r w:rsidDel="00000000" w:rsidR="00000000" w:rsidRPr="00000000">
        <w:rPr>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w:t>
      </w:r>
    </w:p>
    <w:p w:rsidR="00000000" w:rsidDel="00000000" w:rsidP="00000000" w:rsidRDefault="00000000" w:rsidRPr="00000000" w14:paraId="0000007A">
      <w:pPr>
        <w:pageBreakBefore w:val="0"/>
        <w:spacing w:after="240" w:before="240" w:lineRule="auto"/>
        <w:ind w:left="0" w:firstLine="0"/>
        <w:jc w:val="both"/>
        <w:rPr/>
      </w:pPr>
      <w:r w:rsidDel="00000000" w:rsidR="00000000" w:rsidRPr="00000000">
        <w:rPr>
          <w:rtl w:val="0"/>
        </w:rPr>
      </w:r>
    </w:p>
    <w:tbl>
      <w:tblPr>
        <w:tblStyle w:val="Table2"/>
        <w:tblW w:w="9013.76174752349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3.7617475234952"/>
        <w:gridCol w:w="1215"/>
        <w:gridCol w:w="1395"/>
        <w:gridCol w:w="5130"/>
        <w:tblGridChange w:id="0">
          <w:tblGrid>
            <w:gridCol w:w="1273.7617475234952"/>
            <w:gridCol w:w="1215"/>
            <w:gridCol w:w="1395"/>
            <w:gridCol w:w="513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ffff"/>
              </w:rPr>
            </w:pPr>
            <w:r w:rsidDel="00000000" w:rsidR="00000000" w:rsidRPr="00000000">
              <w:rPr>
                <w:b w:val="1"/>
                <w:color w:val="ffffff"/>
                <w:rtl w:val="0"/>
              </w:rPr>
              <w:t xml:space="preserve">Supuesto</w:t>
            </w:r>
          </w:p>
        </w:tc>
        <w:tc>
          <w:tcPr>
            <w:tcBorders>
              <w:top w:color="000000" w:space="0" w:sz="4" w:val="single"/>
              <w:left w:color="000000" w:space="0" w:sz="4" w:val="single"/>
              <w:bottom w:color="000000" w:space="0" w:sz="4" w:val="single"/>
              <w:right w:color="000000" w:space="0" w:sz="4"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ffff"/>
              </w:rPr>
            </w:pPr>
            <w:r w:rsidDel="00000000" w:rsidR="00000000" w:rsidRPr="00000000">
              <w:rPr>
                <w:b w:val="1"/>
                <w:color w:val="ffffff"/>
                <w:rtl w:val="0"/>
              </w:rPr>
              <w:t xml:space="preserve">Principio</w:t>
            </w:r>
          </w:p>
        </w:tc>
        <w:tc>
          <w:tcPr>
            <w:tcBorders>
              <w:top w:color="000000" w:space="0" w:sz="4" w:val="single"/>
              <w:left w:color="000000" w:space="0" w:sz="4" w:val="single"/>
              <w:bottom w:color="000000" w:space="0" w:sz="4" w:val="single"/>
              <w:right w:color="000000" w:space="0" w:sz="4"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ffff"/>
              </w:rPr>
            </w:pPr>
            <w:r w:rsidDel="00000000" w:rsidR="00000000" w:rsidRPr="00000000">
              <w:rPr>
                <w:b w:val="1"/>
                <w:color w:val="ffffff"/>
                <w:rtl w:val="0"/>
              </w:rPr>
              <w:t xml:space="preserve">Sub principios</w:t>
            </w:r>
          </w:p>
        </w:tc>
        <w:tc>
          <w:tcPr>
            <w:tcBorders>
              <w:top w:color="000000" w:space="0" w:sz="4" w:val="single"/>
              <w:left w:color="000000" w:space="0" w:sz="4" w:val="single"/>
              <w:bottom w:color="000000" w:space="0" w:sz="4" w:val="single"/>
              <w:right w:color="000000" w:space="0" w:sz="4"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ffff"/>
              </w:rPr>
            </w:pPr>
            <w:r w:rsidDel="00000000" w:rsidR="00000000" w:rsidRPr="00000000">
              <w:rPr>
                <w:b w:val="1"/>
                <w:color w:val="ffffff"/>
                <w:rtl w:val="0"/>
              </w:rPr>
              <w:t xml:space="preserve">Justificación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1</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4</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3, 8</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trabajador decidió hacer las copias bajo la premisa de ser mejor visto por la empresa, dejando de lado sus principios. El principio 4 nos indica que el empleado debió separar su juicio personal del juicio laboral. Los principios 3 y 8 se ven involucrados porque el empleado busca brindar un mejor servicio para su empresa y desarrollar sus habilidades; no obstante, no lo hace acorde a las normas éticas de la sociedad y por lo tanto no fue una conducta adecuada.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6, 7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pesar de que la intención final del administrador era correcta, el hecho de violar la privacidad de cada uno de sus empleados pasa por el alto lo indicado en el principio 5 en el sentido de que no están llevando a cabo una administración basada en respetar los principios éticos de los empleados. Los principios 6 y 7 se ven involucrados porque se trató de un mismo modo a todos los empleados (aunque injusto para todos quizá excepto 1) y porque se busca mejorar la integridad de los empleados al corregir el comportamiento del empleado agresor.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6, 1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Podemos ver como el empleado decide poner en práctica sus conocimientos y desarrollar un mayor aprendizaje de ellas mediante el rastreo de la dirección, como indica el principio 8. No obstante, el trabajador pasa por alto la integridad y privacidad de la información del vendedor, por lo que la acción va en contra de la ética profesional.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 principios 6 y 1 se ven involucrados porque se busca de manera indirecta generar un bien en la sociedad, ya que el interés del vendedor del auto era, evidentemente, vender el auto que finalmente fue lo que ocurrió.</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4</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6, 8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diferencia de los anteriores, aquí podemos notar rápidamente la falta de ética profesional del empleado para violar la privacidad de sus compañeros. Por ser los principales afectados sus compañeros de trabajo, considero que es el principio 7 el que se intenta ilustrar con esta situación. También juegan un papel importante los principios 6 y 8 en la situación, ya que el empleado finalmente reportó el error como era debido y además puso en práctica sus habilidades para detectar la falla en primer lugar.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5</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Nuevamente vemos una situación que expone el mal manejo de la información de los empleados por parte de un administrador. El principio 5 indica que se debe realizar un manejo cuidadoso de la información de su equipo bajo ninguna circunstancia. Otro principio que juega un papel interesante es el principio 4, ya que es necesario que el empleado pueda discernir entre su juicio personal (ayudar a su tía) y el juicio laboral (respetar la privacidad de sus compañeros y/o subordinados).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6</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esta situación podemos observar un conflicto de intereses entre el cliente y el empresario, ya que cada uno de ellos tiene una visión diferente de hasta qué punto alcanza su responsabilidad en un error en la construcción del puente. El principio 2 establece que el desarrollador (empresario en este caso) debe ser capaz de adaptarse a las condiciones impuestas por el cliente siempre y cuando estas entren dentro del código de ética de la empresa y vaya acorde a las normas sociales. Es interesante notar cómo el empresario delimita correctamente hasta qué punto llega su responsabilidad en la construcción del puente, aún cuando esta postura va en contra de lo solicitado por el cliente. Otros dos principios muy relacionados con la situación es el 4, ya que el empleado termina emitiendo un juicio personal de hasta dónde llega su responsabilidad de manera aislada a el juicio de la empresa (hay que cerrar la mayor cantidad de tratos que nos sea posible). Esta separación me parece manejada correctamente.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7</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2, 3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este caso podemos ver como lo que se le solicita al empleado favorece al interés particular de la empresa que vende autos. No obstante, nosotros tenemos el antecedente de que un vehículo que emite cantidades grandes de CO2 termina siendo perjudicial para la salud de la sociedad, por lo que esta situación nos expone una tarea que va en contra de los intereses de la sociedad en general, lo cual a su vez viola lo establecido en el principio 1. Existen además otros dos principios que resaltan en esta situación: el 2 (ya que puede llegar a existir un conflicto de interés entre empresario y el cliente) y el 3 (ya que se le pide elaborar un trabajo que no está sometido a los más altos estándares de calidad, pues no cumple de manera objetiva su función).</w:t>
            </w:r>
          </w:p>
        </w:tc>
      </w:tr>
    </w:tbl>
    <w:p w:rsidR="00000000" w:rsidDel="00000000" w:rsidP="00000000" w:rsidRDefault="00000000" w:rsidRPr="00000000" w14:paraId="0000009C">
      <w:pPr>
        <w:pageBreakBefore w:val="0"/>
        <w:spacing w:after="240" w:before="240" w:lineRule="auto"/>
        <w:ind w:left="0" w:firstLine="0"/>
        <w:rPr>
          <w:b w:val="1"/>
        </w:rPr>
      </w:pPr>
      <w:r w:rsidDel="00000000" w:rsidR="00000000" w:rsidRPr="00000000">
        <w:rPr>
          <w:rtl w:val="0"/>
        </w:rPr>
      </w:r>
    </w:p>
    <w:p w:rsidR="00000000" w:rsidDel="00000000" w:rsidP="00000000" w:rsidRDefault="00000000" w:rsidRPr="00000000" w14:paraId="0000009D">
      <w:pPr>
        <w:pageBreakBefore w:val="0"/>
        <w:ind w:left="720" w:firstLine="0"/>
        <w:rPr>
          <w:b w:val="1"/>
        </w:rPr>
      </w:pPr>
      <w:r w:rsidDel="00000000" w:rsidR="00000000" w:rsidRPr="00000000">
        <w:rPr>
          <w:rtl w:val="0"/>
        </w:rPr>
      </w:r>
    </w:p>
    <w:p w:rsidR="00000000" w:rsidDel="00000000" w:rsidP="00000000" w:rsidRDefault="00000000" w:rsidRPr="00000000" w14:paraId="0000009E">
      <w:pPr>
        <w:pStyle w:val="Title"/>
        <w:pageBreakBefore w:val="0"/>
        <w:jc w:val="both"/>
        <w:rPr>
          <w:b w:val="1"/>
        </w:rPr>
      </w:pPr>
      <w:bookmarkStart w:colFirst="0" w:colLast="0" w:name="_oydehqlkzten" w:id="1"/>
      <w:bookmarkEnd w:id="1"/>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9F">
      <w:pPr>
        <w:pageBreakBefore w:val="0"/>
        <w:spacing w:after="240" w:before="240" w:lineRule="auto"/>
        <w:rPr>
          <w:color w:val="1155cc"/>
          <w:u w:val="single"/>
        </w:rPr>
      </w:pPr>
      <w:r w:rsidDel="00000000" w:rsidR="00000000" w:rsidRPr="00000000">
        <w:rPr>
          <w:rtl w:val="0"/>
        </w:rPr>
        <w:t xml:space="preserve">ACM Code of Ethics and Professional Conduct (sf) Recuperado el 10/02/2020 de: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https://www.acm.org/about-acm/code-of-ethics-in-spanish</w:t>
        </w:r>
      </w:hyperlink>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cm.org/about-acm/code-of-ethics-in-spanish" TargetMode="External"/><Relationship Id="rId10" Type="http://schemas.openxmlformats.org/officeDocument/2006/relationships/hyperlink" Target="https://www.acm.org/about-acm/code-of-ethics-in-spanish"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