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1.81</w:t>
      </w:r>
    </w:p>
    <w:p>
      <w:pPr>
        <w:ind w:firstLine="0"/>
        <w:jc w:val="center"/>
      </w:pPr>
      <w:r>
        <w:rPr>
          <w:rFonts w:ascii="Times New Roman" w:hAnsi="Times New Roman" w:cs="Times New Roman" w:eastAsia="Times New Roman"/>
          <w:b w:val="0"/>
          <w:i w:val="0"/>
          <w:color w:val="000000"/>
          <w:sz w:val="26"/>
        </w:rPr>
        <w:t>Дата: 26.08.2026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 бланк подставляются и сведения соседних вложений той же заявки - материальные ценности и транспорт: в печатной форме на ввоз есть строка под марку и номер машины, а сами машины заявитель заводит в отдельном вложении. Печатаются при этом только строки, допущенные на посты: состав непринятого дополнения в бланк не попадает.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Обучение заявителя идёт под шестьдесят шагов, это около семи минут подряд, поэтому 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Состав тура определяется до запуска - есть ли у работника своя заявка, назначен ли он согласующим, какая таблица поста ему открыта, - поэтому счётчик «Шаг N из M» по ходу обучения не меняется.</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2 182 теста в 391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5 171 тест в 574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190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7 543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500 265 строк в 1 880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104 895 строк без тестов: 187 служб, 76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201 701 строка: 39 экранов, 230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7 543</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273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подстановка в бланк сведений соседних вложений заявки - материальных ценностей и транспорта, и то, что строки непринятого дополнения в бланк не попадают</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2026-08-26T08:17:44Z</dcterms:created>
  <dcterms:modified xsi:type="dcterms:W3CDTF">2026-08-26T08:17:44Z</dcterms:modified>
  <cp:category>Эксплуатационная документация</cp:category>
</cp:coreProperties>
</file>