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1.42</w:t>
      </w:r>
    </w:p>
    <w:p>
      <w:pPr>
        <w:ind w:firstLine="0"/>
        <w:jc w:val="center"/>
      </w:pPr>
      <w:r>
        <w:rPr>
          <w:rFonts w:ascii="Times New Roman" w:hAnsi="Times New Roman" w:cs="Times New Roman" w:eastAsia="Times New Roman"/>
          <w:b w:val="0"/>
          <w:i w:val="0"/>
          <w:color w:val="000000"/>
          <w:sz w:val="26"/>
        </w:rPr>
        <w:t>Дата: 10.08.2026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ОГРАНИЧЕНИЯ НА ИСПОЛЬЗОВАНИЕ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интерфейсы и принятые в ней решения, принадлежит правообладателю. Передача документа не влечёт перехода к Получателю каких-либо прав на систему или на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Назначение передачи. </w:t>
      </w:r>
      <w:r>
        <w:rPr>
          <w:rFonts w:ascii="Times New Roman" w:hAnsi="Times New Roman" w:cs="Times New Roman" w:eastAsia="Times New Roman"/>
          <w:b w:val="0"/>
          <w:i w:val="0"/>
          <w:color w:val="000000"/>
          <w:sz w:val="24"/>
        </w:rPr>
        <w:t>Документ передан Получателю исключительно для ознакомления с системой и принятия решения о её приобретении и внедрении. Использование документа в иных целях не разрешается.</w:t>
      </w:r>
    </w:p>
    <w:p>
      <w:pPr>
        <w:spacing w:after="60" w:line="276" w:lineRule="auto"/>
        <w:ind w:firstLine="0"/>
        <w:jc w:val="both"/>
      </w:pPr>
      <w:r>
        <w:rPr>
          <w:rFonts w:ascii="Times New Roman" w:hAnsi="Times New Roman" w:cs="Times New Roman" w:eastAsia="Times New Roman"/>
          <w:b/>
          <w:i w:val="0"/>
          <w:color w:val="000000"/>
          <w:sz w:val="24"/>
        </w:rPr>
        <w:t xml:space="preserve">3. Запрет передачи третьим лицам. </w:t>
      </w:r>
      <w:r>
        <w:rPr>
          <w:rFonts w:ascii="Times New Roman" w:hAnsi="Times New Roman" w:cs="Times New Roman" w:eastAsia="Times New Roman"/>
          <w:b w:val="0"/>
          <w:i w:val="0"/>
          <w:color w:val="000000"/>
          <w:sz w:val="24"/>
        </w:rPr>
        <w:t>Документ, его части и любые производные материалы - копии, выдержки, переводы, изложения, презентации, снимки экрана - не подлежат передаче, пересылке, публикации и показу третьим лицам, включая подрядчиков и консультантов Получателя, без предварительного письменного согласия правообладателя. Внутри организации Получателя документ доводится только до работников, которым он необходим для оценки системы.</w:t>
      </w:r>
    </w:p>
    <w:p>
      <w:pPr>
        <w:spacing w:after="60" w:line="276" w:lineRule="auto"/>
        <w:ind w:firstLine="0"/>
        <w:jc w:val="both"/>
      </w:pPr>
      <w:r>
        <w:rPr>
          <w:rFonts w:ascii="Times New Roman" w:hAnsi="Times New Roman" w:cs="Times New Roman" w:eastAsia="Times New Roman"/>
          <w:b/>
          <w:i w:val="0"/>
          <w:color w:val="000000"/>
          <w:sz w:val="24"/>
        </w:rPr>
        <w:t xml:space="preserve">4. Запрет иного использования. </w:t>
      </w:r>
      <w:r>
        <w:rPr>
          <w:rFonts w:ascii="Times New Roman" w:hAnsi="Times New Roman" w:cs="Times New Roman" w:eastAsia="Times New Roman"/>
          <w:b w:val="0"/>
          <w:i w:val="0"/>
          <w:color w:val="000000"/>
          <w:sz w:val="24"/>
        </w:rPr>
        <w:t>Содержащиеся в документе сведения не подлежат использованию и передаче в целях, не предусмотренных пунктом 2 настоящего листа.</w:t>
      </w:r>
    </w:p>
    <w:p>
      <w:pPr>
        <w:spacing w:after="60" w:line="276" w:lineRule="auto"/>
        <w:ind w:firstLine="0"/>
        <w:jc w:val="both"/>
      </w:pPr>
      <w:r>
        <w:rPr>
          <w:rFonts w:ascii="Times New Roman" w:hAnsi="Times New Roman" w:cs="Times New Roman" w:eastAsia="Times New Roman"/>
          <w:b/>
          <w:i w:val="0"/>
          <w:color w:val="000000"/>
          <w:sz w:val="24"/>
        </w:rPr>
        <w:t xml:space="preserve">5. Отсутствие лицензии. </w:t>
      </w:r>
      <w:r>
        <w:rPr>
          <w:rFonts w:ascii="Times New Roman" w:hAnsi="Times New Roman" w:cs="Times New Roman" w:eastAsia="Times New Roman"/>
          <w:b w:val="0"/>
          <w:i w:val="0"/>
          <w:color w:val="000000"/>
          <w:sz w:val="24"/>
        </w:rPr>
        <w:t>Документ не является офертой, лицензией или разрешением на использование системы. Право использования системы возникает только на основании отдельного письменного договора с правообладателем.</w:t>
      </w:r>
    </w:p>
    <w:p>
      <w:pPr>
        <w:spacing w:after="60" w:line="276" w:lineRule="auto"/>
        <w:ind w:firstLine="0"/>
        <w:jc w:val="both"/>
      </w:pPr>
      <w:r>
        <w:rPr>
          <w:rFonts w:ascii="Times New Roman" w:hAnsi="Times New Roman" w:cs="Times New Roman" w:eastAsia="Times New Roman"/>
          <w:b/>
          <w:i w:val="0"/>
          <w:color w:val="000000"/>
          <w:sz w:val="24"/>
        </w:rPr>
        <w:t xml:space="preserve">6. Срок действия ограничений. </w:t>
      </w:r>
      <w:r>
        <w:rPr>
          <w:rFonts w:ascii="Times New Roman" w:hAnsi="Times New Roman" w:cs="Times New Roman" w:eastAsia="Times New Roman"/>
          <w:b w:val="0"/>
          <w:i w:val="0"/>
          <w:color w:val="000000"/>
          <w:sz w:val="24"/>
        </w:rPr>
        <w:t>Ограничения действуют бессрочно. Они не прекращаются отказом Получателя от приобретения системы, истечением пилотного периода, прекращением переговоров или возвратом документа.</w:t>
      </w:r>
    </w:p>
    <w:p>
      <w:pPr>
        <w:spacing w:after="60" w:line="276" w:lineRule="auto"/>
        <w:ind w:firstLine="0"/>
        <w:jc w:val="both"/>
      </w:pPr>
      <w:r>
        <w:rPr>
          <w:rFonts w:ascii="Times New Roman" w:hAnsi="Times New Roman" w:cs="Times New Roman" w:eastAsia="Times New Roman"/>
          <w:b/>
          <w:i w:val="0"/>
          <w:color w:val="000000"/>
          <w:sz w:val="24"/>
        </w:rPr>
        <w:t xml:space="preserve">7. Возврат и уничтожение. </w:t>
      </w:r>
      <w:r>
        <w:rPr>
          <w:rFonts w:ascii="Times New Roman" w:hAnsi="Times New Roman" w:cs="Times New Roman" w:eastAsia="Times New Roman"/>
          <w:b w:val="0"/>
          <w:i w:val="0"/>
          <w:color w:val="000000"/>
          <w:sz w:val="24"/>
        </w:rPr>
        <w:t>Если решение о приобретении не принято, а также по письменному требованию правообладателя, Получатель прекращает использование документа, удаляет его электронные копии и уничтожает бумажные экземпляры, подтверждая это письменно по запросу правообладателя.</w:t>
      </w:r>
    </w:p>
    <w:p>
      <w:pPr>
        <w:spacing w:after="60" w:line="276" w:lineRule="auto"/>
        <w:ind w:firstLine="0"/>
        <w:jc w:val="both"/>
      </w:pPr>
      <w:r>
        <w:rPr>
          <w:rFonts w:ascii="Times New Roman" w:hAnsi="Times New Roman" w:cs="Times New Roman" w:eastAsia="Times New Roman"/>
          <w:b/>
          <w:i w:val="0"/>
          <w:color w:val="000000"/>
          <w:sz w:val="24"/>
        </w:rPr>
        <w:t xml:space="preserve">8. Ответственность. </w:t>
      </w:r>
      <w:r>
        <w:rPr>
          <w:rFonts w:ascii="Times New Roman" w:hAnsi="Times New Roman" w:cs="Times New Roman" w:eastAsia="Times New Roman"/>
          <w:b w:val="0"/>
          <w:i w:val="0"/>
          <w:color w:val="000000"/>
          <w:sz w:val="24"/>
        </w:rPr>
        <w:t>Нарушение исключительного права влечёт ответственность, установленную законодательством Российской Федерации, включая возмещение убытков либо выплату компенсации, и не лишает правообладателя права требовать пресечения действий, нарушающих право.</w:t>
      </w:r>
    </w:p>
    <w:p>
      <w:pPr>
        <w:spacing w:after="60" w:line="276" w:lineRule="auto"/>
        <w:ind w:firstLine="0"/>
        <w:jc w:val="both"/>
      </w:pPr>
      <w:r>
        <w:rPr>
          <w:rFonts w:ascii="Times New Roman" w:hAnsi="Times New Roman" w:cs="Times New Roman" w:eastAsia="Times New Roman"/>
          <w:b/>
          <w:i w:val="0"/>
          <w:color w:val="000000"/>
          <w:sz w:val="24"/>
        </w:rPr>
        <w:t xml:space="preserve">9. Принятие условий. </w:t>
      </w:r>
      <w:r>
        <w:rPr>
          <w:rFonts w:ascii="Times New Roman" w:hAnsi="Times New Roman" w:cs="Times New Roman" w:eastAsia="Times New Roman"/>
          <w:b w:val="0"/>
          <w:i w:val="0"/>
          <w:color w:val="000000"/>
          <w:sz w:val="24"/>
        </w:rPr>
        <w:t>Получение и использование документа означает согласие с изложенными ограничениями. Получатель, не согласный с ними, обязан не использовать документ и уведомить правообладателя о его возврате или уничтожении.</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Массовый ввод участников из бланка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Обучающие туры</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Защита передаваемых данных</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от типовых атак</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персональных данных при хранении</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Учёт обращений к персональным данным</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Согласия на обработку персональных данных</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Журналы и прослеживаемость</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Автоматический контроль защищённости</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49</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268"/>
        <w:gridCol w:w="2806"/>
        <w:gridCol w:w="4282"/>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2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Подача заявок, свои справочники, личный кабинет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согласующего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Рассмотрение заявок, решение по согласованию, вопросы заявителю</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принимающего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ведущий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Приём заявки в работу, назначение постов и мест, дополнения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таблицы постов, аудит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13.6</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55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массовый ввод участников из бланка, блокировка учётной записи.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супер-администратора, для которого таких границ нет нигде.</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199"/>
            <wp:docPr id="1" name="Picture 1"/>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5940000" cy="34451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он дополняет любую, как и в остальных действиях системы.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13.7. Обращение к выгрузке учитывается в журнале обращений к персональным данным, см. подраздел 13.6.</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 Заполненный бланк принимается обратно и наполняет список участников заявки, см. подраздел 6.3</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13.7</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13.5.</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тот же, что при скачивании бланка: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13.6.</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заканчивается завтра,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На компьютере уведомления доходят, пока запущен браузер: их принимает он сам, и полностью закрытый браузер получит накопленное при следующем запуске. На телефоне доставку держит операционная система, поэтому там сообщение приходит независимо от того, открыт браузер или нет; о разнице сказано прямо на экране настроек.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Установить такое приложение умеет только Safari - остальные браузеры на этих устройствах работают на его движке и этой возможности лишены, поэтому инструкция на экране настроек выбирается по браузеру: открывшему сайт в стороннем браузере система сначала предлагает перенести адрес в Safari и даёт его скопировать. Менять привычный браузер при этом не требуется: Safari нужен один раз, для установки, дальше приложение открывается со своей иконки. Это ограничение платформы, а не системы.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2"/>
        <w:ind w:firstLine="0"/>
      </w:pPr>
      <w:r>
        <w:rPr>
          <w:rFonts w:ascii="Times New Roman" w:hAnsi="Times New Roman" w:cs="Times New Roman" w:eastAsia="Times New Roman"/>
          <w:b/>
          <w:i w:val="0"/>
          <w:color w:val="000000"/>
          <w:sz w:val="28"/>
        </w:rPr>
        <w:t>6.3. Массовый ввод участников из бланка</w:t>
      </w:r>
    </w:p>
    <w:p>
      <w:r>
        <w:rPr>
          <w:rFonts w:ascii="Times New Roman" w:hAnsi="Times New Roman" w:cs="Times New Roman" w:eastAsia="Times New Roman"/>
          <w:b w:val="0"/>
          <w:i w:val="0"/>
          <w:color w:val="000000"/>
          <w:sz w:val="28"/>
        </w:rPr>
        <w:t>На мероприятие подают списками в сотни и тысячи человек, а форма подачи рассчитана на ввод по одному. Поэтому список принимается файлом: заявитель скачивает из формы пустой бланк, заполняет его привычным образом и загружает обратно, а система разбирает строки и наполняет ими список участников заявки. Дальше заявка подаётся обычным порядком.</w:t>
      </w:r>
    </w:p>
    <w:p>
      <w:r>
        <w:rPr>
          <w:rFonts w:ascii="Times New Roman" w:hAnsi="Times New Roman" w:cs="Times New Roman" w:eastAsia="Times New Roman"/>
          <w:b w:val="0"/>
          <w:i w:val="0"/>
          <w:color w:val="000000"/>
          <w:sz w:val="28"/>
        </w:rPr>
        <w:t>Бланк тот же самый, которым система печатает заявку. Отдельного формата для загрузки нет намеренно: чтобы отдать список, не нужно ни искать образец, ни сопоставлять столбцы вручную - система читает файл по той же разметке шаблона, по которой его заполняет. При выдаче в файл вписывается отметка о том, для какого вида пропуска он выдан; она хранится в свойствах документа и продублирована в скрытом листе, поэтому переживает пересохранение в редакторе.</w:t>
      </w:r>
    </w:p>
    <w:p>
      <w:r>
        <w:rPr>
          <w:rFonts w:ascii="Times New Roman" w:hAnsi="Times New Roman" w:cs="Times New Roman" w:eastAsia="Times New Roman"/>
          <w:b w:val="0"/>
          <w:i w:val="0"/>
          <w:color w:val="000000"/>
          <w:sz w:val="28"/>
        </w:rPr>
        <w:t>Возможность закрыта отдельным правом, и по умолчанию его нет ни у кого, кроме администраторов. Причина не в нагрузке на сервер: заявитель, который может заполнить форму, должен заполнять форму, а файлом подаются те, у кого список действительно велик. Право открывает и загрузку, и скачивание пустого бланка сразу: иначе человек скачал бы бланк, заполнил его и получил отказ уже при загрузке.</w:t>
      </w:r>
    </w:p>
    <w:p>
      <w:r>
        <w:rPr>
          <w:rFonts w:ascii="Times New Roman" w:hAnsi="Times New Roman" w:cs="Times New Roman" w:eastAsia="Times New Roman"/>
          <w:b w:val="0"/>
          <w:i w:val="0"/>
          <w:color w:val="000000"/>
          <w:sz w:val="28"/>
        </w:rPr>
        <w:t>Негодный файл отклоняется целиком, до разбора строк, и каждый отказ объясняется словами и подсказкой, что делать. Проверяются размер и внутренняя подпись файла, а не его расширение; затем отметка вида пропуска - бланк другого вида пропуска называется прямо, с указанием, для какого он выдан и какой подаётся; при отсутствии отметки сверяются подписи столбцов, и сдвинутая разметка означает предложение скачать бланк заново. Пустой список и превышение потолка в две тысячи строк на файл тоже останавливают разбор: длинный список разбивается на несколько заявок.</w:t>
      </w:r>
    </w:p>
    <w:p>
      <w:r>
        <w:rPr>
          <w:rFonts w:ascii="Times New Roman" w:hAnsi="Times New Roman" w:cs="Times New Roman" w:eastAsia="Times New Roman"/>
          <w:b w:val="0"/>
          <w:i w:val="0"/>
          <w:color w:val="000000"/>
          <w:sz w:val="28"/>
        </w:rPr>
        <w:t>Строки внутри годного файла проверяются теми же правилами, что и ручной ввод, и это требование к системе, а не следствие устройства: загрузка файлом не должна быть способом обойти проверку. Обязательность полей берётся из настроек того же вложения, патент требуется по признаку гражданства и по настройке поля, гражданство сопоставляется со справочником, длины полей сверяются с тем, что примет база. Написание имён приводится к единому виду: латинские буквы, набранные вместо русских, заменяются с показом исправленного варианта, а слитно записанное имя разбирается на фамилию, имя и отчество и помечается как требующее проверки. Совпадение с чёрным списком останавливает строку, повторы внутри файла и повторы того, что уже добавлено в заявку, отсеиваются по тем же правилам, по которым система не принимает одного человека дважды при ручном вводе.</w:t>
      </w:r>
    </w:p>
    <w:p>
      <w:r>
        <w:rPr>
          <w:rFonts w:ascii="Times New Roman" w:hAnsi="Times New Roman" w:cs="Times New Roman" w:eastAsia="Times New Roman"/>
          <w:b w:val="0"/>
          <w:i w:val="0"/>
          <w:color w:val="000000"/>
          <w:sz w:val="28"/>
        </w:rPr>
        <w:t>Разбор не обрывается на первой негодной строке: чистые строки принимаются, проблемные показываются перечнем с номером строки в файле и причиной отказа, чтобы человек нашёл её у себя. Причину система формулирует сама, целиком, на русском языке. Правка возможна прямо в перечне для тех причин, которые в нём и видны: незаполненное имя, неопознанное гражданство, слишком длинное значение. Совпадение с чёрным списком и повтор так не исправляются, а сведения документов в перечне не показываются вовсе, поэтому и правятся такие строки только через обычную форму.</w:t>
      </w:r>
    </w:p>
    <w:p>
      <w:r>
        <w:rPr>
          <w:rFonts w:ascii="Times New Roman" w:hAnsi="Times New Roman" w:cs="Times New Roman" w:eastAsia="Times New Roman"/>
          <w:b w:val="0"/>
          <w:i w:val="0"/>
          <w:color w:val="000000"/>
          <w:sz w:val="28"/>
        </w:rPr>
        <w:t>Места прохода, места разгрузки и таблицы проезда в файле не передаются: их задаёт заявитель на сайте сразу для всего загруженного списка, и без этого выбора список в заявку не добавляется. Перечень проблемных строк выгружается в электронную таблицу с теми же причинами, чтобы список можно было исправить в привычном редакторе и загрузить заново.</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Обучающие туры</w:t>
      </w:r>
    </w:p>
    <w:p>
      <w:r>
        <w:rPr>
          <w:rFonts w:ascii="Times New Roman" w:hAnsi="Times New Roman" w:cs="Times New Roman" w:eastAsia="Times New Roman"/>
          <w:b w:val="0"/>
          <w:i w:val="0"/>
          <w:color w:val="000000"/>
          <w:sz w:val="28"/>
        </w:rPr>
        <w:t>Обучение встроено в интерфейс: система подсвечивает элементы и объясняет их назначение прямо на рабочем экране, не отсылая к отдельному пособию.</w:t>
      </w:r>
    </w:p>
    <w:p>
      <w:r>
        <w:rPr>
          <w:rFonts w:ascii="Times New Roman" w:hAnsi="Times New Roman" w:cs="Times New Roman" w:eastAsia="Times New Roman"/>
          <w:b w:val="0"/>
          <w:i w:val="0"/>
          <w:color w:val="000000"/>
          <w:sz w:val="28"/>
        </w:rPr>
        <w:t>Туров пять, по кругу задач работника: заявитель, работник поста, согласующий, принимающий и администратор. Набор доступных туров система определяет по правам учётной записи, а не по её типу: один и тот же человек нередко и принимает заявки, и ведёт справочники, поэтому ему доступны оба тура. Работник видит в меню обучения только то, что относится к его работе.</w:t>
      </w:r>
    </w:p>
    <w:p>
      <w:r>
        <w:rPr>
          <w:rFonts w:ascii="Times New Roman" w:hAnsi="Times New Roman" w:cs="Times New Roman" w:eastAsia="Times New Roman"/>
          <w:b w:val="0"/>
          <w:i w:val="0"/>
          <w:color w:val="000000"/>
          <w:sz w:val="28"/>
        </w:rPr>
        <w:t>При первом входе запускается ровно один тур - профильный для этой учётной записи. Остальные доступные работник запускает сам, кнопкой «Обучение» на странице «Обзор и новости»: она открывает список туров с пометкой о том, какие уже пройдены.</w:t>
      </w:r>
    </w:p>
    <w:p>
      <w:r>
        <w:rPr>
          <w:rFonts w:ascii="Times New Roman" w:hAnsi="Times New Roman" w:cs="Times New Roman" w:eastAsia="Times New Roman"/>
          <w:b w:val="0"/>
          <w:i w:val="0"/>
          <w:color w:val="000000"/>
          <w:sz w:val="28"/>
        </w:rPr>
        <w:t>Внутри тура работник не привязан к порядку: счётчик шагов открывает список всех шагов по разделам, и с него можно перейти к нужному месту, в том числе на другую страницу.</w:t>
      </w:r>
    </w:p>
    <w:p>
      <w:r>
        <w:rPr>
          <w:rFonts w:ascii="Times New Roman" w:hAnsi="Times New Roman" w:cs="Times New Roman" w:eastAsia="Times New Roman"/>
          <w:b w:val="0"/>
          <w:i w:val="0"/>
          <w:color w:val="000000"/>
          <w:sz w:val="28"/>
        </w:rPr>
        <w:t>Прохождение считается отдельно по каждому туру. Работник, прошедший обучение заявителя, не теряет эту отметку, когда его назначают согласующим, и получает новый тур, а не повтор старого.</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снять отметку о прохождении конкретному работнику - как по отдельному туру, так и по всем сразу, например при переводе на другую должность.</w:t>
      </w:r>
    </w:p>
    <w:p>
      <w:r>
        <w:rPr>
          <w:rFonts w:ascii="Times New Roman" w:hAnsi="Times New Roman" w:cs="Times New Roman" w:eastAsia="Times New Roman"/>
          <w:b w:val="0"/>
          <w:i w:val="0"/>
          <w:color w:val="000000"/>
          <w:sz w:val="28"/>
        </w:rPr>
        <w:t>Туры версионируются независимо. После существенного изменения интерфейса работникам показывается обновлённый тур той области, которая изменилась; пройденные туры остальных областей это не затрагивает.</w:t>
      </w:r>
    </w:p>
    <w:p>
      <w:r>
        <w:rPr>
          <w:rFonts w:ascii="Times New Roman" w:hAnsi="Times New Roman" w:cs="Times New Roman" w:eastAsia="Times New Roman"/>
          <w:b w:val="0"/>
          <w:i w:val="0"/>
          <w:color w:val="000000"/>
          <w:sz w:val="28"/>
        </w:rPr>
        <w:t>Тур не мешает работе: он пропускает шаги про разделы, которых у работника нет по правам, и переживает отсутствие данных на экране. Там, где показывать нечего - например, у нового работника ещё нет ни одной заявки, - тур показывает пример на снимке экрана и продолжается дальше.</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Руководство дополняет туры, а не повторяет их: тур - короткий обзор основ на живом экране, руководство - справочный материал с подробностями. 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1.25,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сообщается, что срок действия его пропуска заканчивается на следующий день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Снимается копия базы и файлов, устаревшие копии удаляются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499 методов в 39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не передаёт маркер доступа, поэтому они отдаются по прямой ссылке. Ссылка при этом неугадываема: имя файла на диске заменяется случайным, и получить его можно только из ответа метода, доступ к которому разграничен.</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13.4.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13.5.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а также выгрузка перечня заявок за период из центра заявок.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13.7.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13.8.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p>
      <w:r>
        <w:rPr>
          <w:rFonts w:ascii="Times New Roman" w:hAnsi="Times New Roman" w:cs="Times New Roman" w:eastAsia="Times New Roman"/>
          <w:b w:val="0"/>
          <w:i w:val="0"/>
          <w:color w:val="000000"/>
          <w:sz w:val="28"/>
        </w:rPr>
        <w:t>Адрес запроса записывается в журнал с затёртыми значениями секретных параметров: одноразовый билет, маркер доступа и ключ выгрузки сохраняются как признак «параметр был», без самого значения. Сделано это потому, что сроки жизни у секрета и у журнала несопоставимы: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Особенно это важно для файлового архива, где билет открывает выгрузку бланков с паспортными сведениями.</w:t>
      </w:r>
    </w:p>
    <w:p>
      <w:pPr>
        <w:pStyle w:val="Heading2"/>
        <w:ind w:firstLine="0"/>
      </w:pPr>
      <w:r>
        <w:rPr>
          <w:rFonts w:ascii="Times New Roman" w:hAnsi="Times New Roman" w:cs="Times New Roman" w:eastAsia="Times New Roman"/>
          <w:b/>
          <w:i w:val="0"/>
          <w:color w:val="000000"/>
          <w:sz w:val="28"/>
        </w:rPr>
        <w:t>13.9.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285"/>
        <w:gridCol w:w="2227"/>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2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1 784 теста в 319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4 099 тестов в 448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188 тестов в 46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6 071</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Состав средств приведён в подразделе 13.9.</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895"/>
        <w:gridCol w:w="5461"/>
      </w:tblGrid>
      <w:tr>
        <w:trPr>
          <w:tblHeader w:val="true"/>
          <w:cantSplit w:val="true"/>
        </w:trPr>
        <w:tc>
          <w:tcPr>
            <w:tcW w:type="dxa" w:w="38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894"/>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437 533 строки в 1 578 файлах</w:t>
            </w:r>
          </w:p>
        </w:tc>
      </w:tr>
      <w:tr>
        <w:trPr>
          <w:cantSplit w:val="true"/>
        </w:trPr>
        <w:tc>
          <w:tcPr>
            <w:tcW w:type="dxa" w:w="3894"/>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92 762 строки без тестов: 171 служба, 73 обработчика, 78 моделей данных</w:t>
            </w:r>
          </w:p>
        </w:tc>
      </w:tr>
      <w:tr>
        <w:trPr>
          <w:cantSplit w:val="true"/>
        </w:trPr>
        <w:tc>
          <w:tcPr>
            <w:tcW w:type="dxa" w:w="3894"/>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190 783 строки: 39 экранов, 213 элементов</w:t>
            </w:r>
          </w:p>
        </w:tc>
      </w:tr>
      <w:tr>
        <w:trPr>
          <w:cantSplit w:val="true"/>
        </w:trPr>
        <w:tc>
          <w:tcPr>
            <w:tcW w:type="dxa" w:w="3894"/>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499 в 39 группах</w:t>
            </w:r>
          </w:p>
        </w:tc>
      </w:tr>
      <w:tr>
        <w:trPr>
          <w:cantSplit w:val="true"/>
        </w:trPr>
        <w:tc>
          <w:tcPr>
            <w:tcW w:type="dxa" w:w="3894"/>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101</w:t>
            </w:r>
          </w:p>
        </w:tc>
      </w:tr>
      <w:tr>
        <w:trPr>
          <w:cantSplit w:val="true"/>
        </w:trPr>
        <w:tc>
          <w:tcPr>
            <w:tcW w:type="dxa" w:w="3894"/>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6 071</w:t>
            </w:r>
          </w:p>
        </w:tc>
      </w:tr>
      <w:tr>
        <w:trPr>
          <w:cantSplit w:val="true"/>
        </w:trPr>
        <w:tc>
          <w:tcPr>
            <w:tcW w:type="dxa" w:w="3894"/>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223</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приложенные к заявке файлы уезжают в архив вместе с её бланками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извещение работника бюро о заявке, ждущей принятия в работу; уточнены доставка вне системы на компьютере и порядок установки на устройствах Apple</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кому доступны общесистемные настройки и что супер-администратор дополняет любую заявку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Доступ к разделу «Настройки» описан как отдельное право администратора, а не действие супер-администратора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выгрузка перечня заявок за период из центра заявок и её учёт в журнале обращений к персональным данным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обучения переписан под пять туров по кругу задач работника: выбор по правам, отдельный учёт прохождения, переход к нужному шагу;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массовый ввод участников из бланка: выдача пустого бланка с отметкой вида пропуска, отклонение негодного файла целиком, проверка строк теми же правилами, что и при ручном вводе, исправление проблемных строк и выбор мест прохода на весь список; добавлено право на массовый ввод</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Документ получил гриф конфиденциальности и лист ограничений на использование: цель передачи, запрет передачи третьим лицам и запрет воспроизведения описанного решения</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