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специалисты подразделения информационных технологий, системные администраторы</w:t>
      </w:r>
    </w:p>
    <w:p>
      <w:pPr>
        <w:ind w:firstLine="0"/>
      </w:pPr>
    </w:p>
    <w:p>
      <w:pPr>
        <w:ind w:firstLine="0"/>
        <w:jc w:val="center"/>
      </w:pPr>
      <w:r>
        <w:rPr>
          <w:rFonts w:ascii="Times New Roman" w:hAnsi="Times New Roman" w:cs="Times New Roman" w:eastAsia="Times New Roman"/>
          <w:b w:val="0"/>
          <w:i w:val="0"/>
          <w:color w:val="000000"/>
          <w:sz w:val="26"/>
        </w:rPr>
        <w:t>Версия документа: 2.5</w:t>
      </w:r>
    </w:p>
    <w:p>
      <w:pPr>
        <w:ind w:firstLine="0"/>
        <w:jc w:val="center"/>
      </w:pPr>
      <w:r>
        <w:rPr>
          <w:rFonts w:ascii="Times New Roman" w:hAnsi="Times New Roman" w:cs="Times New Roman" w:eastAsia="Times New Roman"/>
          <w:b w:val="0"/>
          <w:i w:val="0"/>
          <w:color w:val="000000"/>
          <w:sz w:val="26"/>
        </w:rPr>
        <w:t>Дата: 31.07.2026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Переименование базы данных</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Очистка накопленных данных</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Текущее состояние</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подлежит копированию</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Требования к процедуре</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51</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9.7.</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выведенные значения в хранилище секретов организации. Повторно сценарий их не покажет, но все они остаются в файле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 шифрования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Ограничьте доступ к файлу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Ограничение доступа к файлу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chmod 600 .env</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9.6.</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Это исключает ситуацию, когда система запустилась без ключа шифрования и записала персональные данные в открытом виде.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232"/>
        <w:gridCol w:w="1418"/>
        <w:gridCol w:w="4706"/>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6.3</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2385"/>
        <w:gridCol w:w="3994"/>
        <w:gridCol w:w="2977"/>
      </w:tblGrid>
      <w:tr>
        <w:trPr>
          <w:tblHeader w:val="true"/>
          <w:cantSplit w:val="true"/>
        </w:trPr>
        <w:tc>
          <w:tcPr>
            <w:tcW w:type="dxa" w:w="23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39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3994"/>
          </w:tcPr>
          <w:p>
            <w:pPr>
              <w:spacing w:line="240" w:lineRule="auto" w:after="0"/>
              <w:ind w:firstLine="0"/>
              <w:jc w:val="left"/>
            </w:pPr>
            <w:r>
              <w:rPr>
                <w:rFonts w:ascii="Courier New" w:hAnsi="Courier New" w:cs="Courier New" w:eastAsia="Courier New"/>
                <w:b w:val="0"/>
                <w:i w:val="0"/>
                <w:color w:val="000000"/>
                <w:sz w:val="20"/>
              </w:rPr>
              <w:t>debug</w:t>
            </w:r>
          </w:p>
        </w:tc>
        <w:tc>
          <w:tcPr>
            <w:tcW w:type="dxa" w:w="2976"/>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 xml:space="preserve">Разворачивается, доступна по адресу </w:t>
            </w:r>
            <w:r>
              <w:rPr>
                <w:rFonts w:ascii="Courier New" w:hAnsi="Courier New" w:cs="Courier New" w:eastAsia="Courier New"/>
                <w:b w:val="0"/>
                <w:i w:val="0"/>
                <w:color w:val="000000"/>
                <w:sz w:val="20"/>
              </w:rPr>
              <w:t>/pgadmin/</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2861"/>
        <w:gridCol w:w="6494"/>
      </w:tblGrid>
      <w:tr>
        <w:trPr>
          <w:tblHeader w:val="true"/>
          <w:cantSplit w:val="true"/>
        </w:trPr>
        <w:tc>
          <w:tcPr>
            <w:tcW w:type="dxa" w:w="28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494"/>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494"/>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494"/>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494"/>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494"/>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494"/>
          </w:tcPr>
          <w:p>
            <w:pPr>
              <w:spacing w:line="240" w:lineRule="auto" w:after="0"/>
              <w:ind w:firstLine="0"/>
              <w:jc w:val="left"/>
            </w:pPr>
            <w:r>
              <w:rPr>
                <w:rFonts w:ascii="Courier New" w:hAnsi="Courier New" w:cs="Courier New" w:eastAsia="Courier New"/>
                <w:b w:val="0"/>
                <w:i w:val="0"/>
                <w:color w:val="000000"/>
                <w:sz w:val="20"/>
              </w:rPr>
              <w:t>make deploy-cleanup</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1"/>
        <w:gridCol w:w="2126"/>
        <w:gridCol w:w="3678"/>
      </w:tblGrid>
      <w:tr>
        <w:trPr>
          <w:tblHeader w:val="true"/>
          <w:cantSplit w:val="true"/>
        </w:trPr>
        <w:tc>
          <w:tcPr>
            <w:tcW w:type="dxa" w:w="355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и прочитанные уведомления.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по умолчанию и там, и там 30 суток.</w:t>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2731"/>
        <w:gridCol w:w="3214"/>
        <w:gridCol w:w="3411"/>
      </w:tblGrid>
      <w:tr>
        <w:trPr>
          <w:tblHeader w:val="true"/>
          <w:cantSplit w:val="true"/>
        </w:trPr>
        <w:tc>
          <w:tcPr>
            <w:tcW w:type="dxa" w:w="27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321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2730"/>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3213"/>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11"/>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2730"/>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3213"/>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11"/>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10.1</w:t>
      </w:r>
    </w:p>
    <w:tbl>
      <w:tblPr>
        <w:tblStyle w:val="TableGrid"/>
        <w:tblW w:type="auto" w:w="0"/>
        <w:jc w:val="center"/>
        <w:tblLayout w:type="fixed"/>
        <w:tblLook w:firstColumn="1" w:firstRow="1" w:lastColumn="0" w:lastRow="0" w:noHBand="0" w:noVBand="1" w:val="04A0"/>
        <w:tblLayout w:type="fixed"/>
      </w:tblPr>
      <w:tblGrid>
        <w:gridCol w:w="3474"/>
        <w:gridCol w:w="2187"/>
        <w:gridCol w:w="3695"/>
      </w:tblGrid>
      <w:tr>
        <w:trPr>
          <w:tblHeader w:val="true"/>
          <w:cantSplit w:val="true"/>
        </w:trPr>
        <w:tc>
          <w:tcPr>
            <w:tcW w:type="dxa" w:w="34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1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6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474"/>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187"/>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69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474"/>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187"/>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69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474"/>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187"/>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69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Текущее состояние</w:t>
      </w:r>
    </w:p>
    <w:p>
      <w:r>
        <w:rPr>
          <w:rFonts w:ascii="Times New Roman" w:hAnsi="Times New Roman" w:cs="Times New Roman" w:eastAsia="Times New Roman"/>
          <w:b w:val="0"/>
          <w:i w:val="0"/>
          <w:color w:val="000000"/>
          <w:sz w:val="28"/>
        </w:rPr>
        <w:t>Штатная процедура резервного копирования в составе системы отсутствует. Резервное копирование обеспечивается силами организации, где развёрнута система.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До настройки резервного копирования отказ дисковой подсистемы или ошибочная операция приведут к безвозвратной утрате всех данных, включая персональные.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данных: из образа нельзя извлечь отдельную таблицу, отменить последствия ошибочной операции или перенести данные на другой сервер.</w:t>
      </w:r>
    </w:p>
    <w:p>
      <w:pPr>
        <w:pStyle w:val="Heading2"/>
        <w:ind w:firstLine="0"/>
      </w:pPr>
      <w:r>
        <w:rPr>
          <w:rFonts w:ascii="Times New Roman" w:hAnsi="Times New Roman" w:cs="Times New Roman" w:eastAsia="Times New Roman"/>
          <w:b/>
          <w:i w:val="0"/>
          <w:color w:val="000000"/>
          <w:sz w:val="28"/>
        </w:rPr>
        <w:t>11.2. Что подлежит копированию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1843"/>
        <w:gridCol w:w="1701"/>
        <w:gridCol w:w="5812"/>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58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811"/>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811"/>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11.1</w:t>
      </w:r>
    </w:p>
    <w:tbl>
      <w:tblPr>
        <w:tblStyle w:val="TableGrid"/>
        <w:tblW w:type="auto" w:w="0"/>
        <w:jc w:val="center"/>
        <w:tblLayout w:type="fixed"/>
        <w:tblLook w:firstColumn="1" w:firstRow="1" w:lastColumn="0" w:lastRow="0" w:noHBand="0" w:noVBand="1" w:val="04A0"/>
        <w:tblLayout w:type="fixed"/>
      </w:tblPr>
      <w:tblGrid>
        <w:gridCol w:w="2410"/>
        <w:gridCol w:w="2053"/>
        <w:gridCol w:w="4893"/>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48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Требования к процедуре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Копия базы создаётся логической выгрузкой средствами СУБД, а не копированием файлов работающей базы: такая копия непригодна для восстановления.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Ключ шифрования персональных данных хранится отдельно от копий базы. При хранении вместе компрометация архива означает компрометацию персональных данных.</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Копии, содержащие персональные данные, защищаются наравне с самой системой.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Копии хранятся вне сервера системы: копия на том же диске не защищает от отказа диска.</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Восстановимость проверяется регулярно. Копия, из которой ни разу не восстанавливались, резервной копией не является.</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829"/>
        <w:gridCol w:w="1962"/>
        <w:gridCol w:w="4565"/>
      </w:tblGrid>
      <w:tr>
        <w:trPr>
          <w:tblHeader w:val="true"/>
          <w:cantSplit w:val="true"/>
        </w:trPr>
        <w:tc>
          <w:tcPr>
            <w:tcW w:type="dxa" w:w="28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1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13.2</w:t>
      </w:r>
    </w:p>
    <w:tbl>
      <w:tblPr>
        <w:tblStyle w:val="TableGrid"/>
        <w:tblW w:type="auto" w:w="0"/>
        <w:jc w:val="center"/>
        <w:tblLayout w:type="fixed"/>
        <w:tblLook w:firstColumn="1" w:firstRow="1" w:lastColumn="0" w:lastRow="0" w:noHBand="0" w:noVBand="1" w:val="04A0"/>
        <w:tblLayout w:type="fixed"/>
      </w:tblPr>
      <w:tblGrid>
        <w:gridCol w:w="844"/>
        <w:gridCol w:w="1619"/>
        <w:gridCol w:w="6893"/>
      </w:tblGrid>
      <w:tr>
        <w:trPr>
          <w:tblHeader w:val="true"/>
          <w:cantSplit w:val="true"/>
        </w:trPr>
        <w:tc>
          <w:tcPr>
            <w:tcW w:type="dxa" w:w="8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6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8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844"/>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1619"/>
          </w:tcPr>
          <w:p>
            <w:pPr>
              <w:spacing w:line="240" w:lineRule="auto" w:after="0"/>
              <w:ind w:firstLine="0"/>
              <w:jc w:val="left"/>
            </w:pPr>
            <w:r>
              <w:rPr>
                <w:rFonts w:ascii="Courier New" w:hAnsi="Courier New" w:cs="Courier New" w:eastAsia="Courier New"/>
                <w:b w:val="0"/>
                <w:i w:val="0"/>
                <w:color w:val="000000"/>
                <w:sz w:val="20"/>
              </w:rPr>
              <w:t>df -h</w:t>
            </w:r>
          </w:p>
        </w:tc>
        <w:tc>
          <w:tcPr>
            <w:tcW w:type="dxa" w:w="689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827"/>
        <w:gridCol w:w="2218"/>
        <w:gridCol w:w="4310"/>
      </w:tblGrid>
      <w:tr>
        <w:trPr>
          <w:tblHeader w:val="true"/>
          <w:cantSplit w:val="true"/>
        </w:trPr>
        <w:tc>
          <w:tcPr>
            <w:tcW w:type="dxa" w:w="2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2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43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827"/>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2218"/>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4310"/>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827"/>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2218"/>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4310"/>
          </w:tcPr>
          <w:p>
            <w:pPr>
              <w:spacing w:line="240" w:lineRule="auto" w:after="0"/>
              <w:ind w:firstLine="0"/>
              <w:jc w:val="left"/>
            </w:pPr>
            <w:r>
              <w:rPr>
                <w:rFonts w:ascii="Courier New" w:hAnsi="Courier New" w:cs="Courier New" w:eastAsia="Courier New"/>
                <w:b w:val="0"/>
                <w:i w:val="0"/>
                <w:color w:val="000000"/>
                <w:sz w:val="20"/>
              </w:rPr>
              <w:t>docker system prune -a --filter "until=168h"</w:t>
            </w:r>
          </w:p>
        </w:tc>
      </w:tr>
      <w:tr>
        <w:trPr>
          <w:cantSplit w:val="true"/>
        </w:trPr>
        <w:tc>
          <w:tcPr>
            <w:tcW w:type="dxa" w:w="2827"/>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2218"/>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4310"/>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827"/>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2218"/>
          </w:tcPr>
          <w:p>
            <w:pPr>
              <w:spacing w:line="240" w:lineRule="auto" w:after="0"/>
              <w:ind w:firstLine="0"/>
              <w:jc w:val="left"/>
            </w:pPr>
            <w:r>
              <w:rPr>
                <w:rFonts w:ascii="Times New Roman" w:hAnsi="Times New Roman" w:cs="Times New Roman" w:eastAsia="Times New Roman"/>
                <w:b w:val="0"/>
                <w:i w:val="0"/>
                <w:color w:val="000000"/>
                <w:sz w:val="24"/>
              </w:rPr>
              <w:t>Размер таблиц базы</w:t>
            </w:r>
          </w:p>
        </w:tc>
        <w:tc>
          <w:tcPr>
            <w:tcW w:type="dxa" w:w="4310"/>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9.7</w:t>
            </w:r>
          </w:p>
        </w:tc>
      </w:tr>
      <w:tr>
        <w:trPr>
          <w:cantSplit w:val="true"/>
        </w:trPr>
        <w:tc>
          <w:tcPr>
            <w:tcW w:type="dxa" w:w="2827"/>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218"/>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4310"/>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для адреса потока событий буферизация отключена и увеличен предельный срок ожидания.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14.2</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/dev/stdin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55"/>
        <w:gridCol w:w="5901"/>
      </w:tblGrid>
      <w:tr>
        <w:trPr>
          <w:tblHeader w:val="true"/>
          <w:cantSplit w:val="true"/>
        </w:trPr>
        <w:tc>
          <w:tcPr>
            <w:tcW w:type="dxa" w:w="34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14.3</w:t>
      </w:r>
    </w:p>
    <w:tbl>
      <w:tblPr>
        <w:tblStyle w:val="TableGrid"/>
        <w:tblW w:type="auto" w:w="0"/>
        <w:jc w:val="center"/>
        <w:tblLayout w:type="fixed"/>
        <w:tblLook w:firstColumn="1" w:firstRow="1" w:lastColumn="0" w:lastRow="0" w:noHBand="0" w:noVBand="1" w:val="04A0"/>
        <w:tblLayout w:type="fixed"/>
      </w:tblPr>
      <w:tblGrid>
        <w:gridCol w:w="3692"/>
        <w:gridCol w:w="5663"/>
      </w:tblGrid>
      <w:tr>
        <w:trPr>
          <w:tblHeader w:val="true"/>
          <w:cantSplit w:val="true"/>
        </w:trPr>
        <w:tc>
          <w:tcPr>
            <w:tcW w:type="dxa" w:w="36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6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69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662"/>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692"/>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662"/>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848"/>
        <w:gridCol w:w="4239"/>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84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2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А.1</w:t>
      </w:r>
    </w:p>
    <w:tbl>
      <w:tblPr>
        <w:tblStyle w:val="TableGrid"/>
        <w:tblW w:type="auto" w:w="0"/>
        <w:jc w:val="center"/>
        <w:tblLayout w:type="fixed"/>
        <w:tblLook w:firstColumn="1" w:firstRow="1" w:lastColumn="0" w:lastRow="0" w:noHBand="0" w:noVBand="1" w:val="04A0"/>
        <w:tblLayout w:type="fixed"/>
      </w:tblPr>
      <w:tblGrid>
        <w:gridCol w:w="850"/>
        <w:gridCol w:w="1418"/>
        <w:gridCol w:w="5122"/>
        <w:gridCol w:w="1965"/>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51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19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5122"/>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1965"/>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2642"/>
        <w:gridCol w:w="1559"/>
        <w:gridCol w:w="5154"/>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51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5153"/>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59"/>
          </w:tcPr>
          <w:p>
            <w:pPr>
              <w:spacing w:line="240" w:lineRule="auto" w:after="0"/>
              <w:ind w:firstLine="0"/>
              <w:jc w:val="left"/>
            </w:pPr>
            <w:r>
              <w:rPr>
                <w:rFonts w:ascii="Courier New" w:hAnsi="Courier New" w:cs="Courier New" w:eastAsia="Courier New"/>
                <w:b w:val="0"/>
                <w:i w:val="0"/>
                <w:color w:val="000000"/>
                <w:sz w:val="20"/>
              </w:rPr>
              <w:t>100</w:t>
            </w:r>
          </w:p>
        </w:tc>
        <w:tc>
          <w:tcPr>
            <w:tcW w:type="dxa" w:w="5153"/>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30</w:t>
            </w:r>
          </w:p>
        </w:tc>
        <w:tc>
          <w:tcPr>
            <w:tcW w:type="dxa" w:w="5153"/>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Б.5</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116"/>
        <w:gridCol w:w="5239"/>
      </w:tblGrid>
      <w:tr>
        <w:trPr>
          <w:tblHeader w:val="true"/>
          <w:cantSplit w:val="true"/>
        </w:trPr>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2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42"/>
        <w:gridCol w:w="6779"/>
        <w:gridCol w:w="2034"/>
      </w:tblGrid>
      <w:tr>
        <w:trPr>
          <w:tblHeader w:val="true"/>
          <w:cantSplit w:val="true"/>
        </w:trPr>
        <w:tc>
          <w:tcPr>
            <w:tcW w:type="dxa" w:w="5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7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20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42"/>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6778"/>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2034"/>
          </w:tcPr>
          <w:p>
            <w:pPr>
              <w:spacing w:line="240" w:lineRule="auto" w:after="0"/>
              <w:ind w:firstLine="0"/>
              <w:jc w:val="left"/>
            </w:pPr>
          </w:p>
        </w:tc>
      </w:tr>
      <w:tr>
        <w:trPr>
          <w:cantSplit w:val="true"/>
        </w:trPr>
        <w:tc>
          <w:tcPr>
            <w:tcW w:type="dxa" w:w="542"/>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6778"/>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2034"/>
          </w:tcPr>
          <w:p>
            <w:pPr>
              <w:spacing w:line="240" w:lineRule="auto" w:after="0"/>
              <w:ind w:firstLine="0"/>
              <w:jc w:val="left"/>
            </w:pPr>
          </w:p>
        </w:tc>
      </w:tr>
      <w:tr>
        <w:trPr>
          <w:cantSplit w:val="true"/>
        </w:trPr>
        <w:tc>
          <w:tcPr>
            <w:tcW w:type="dxa" w:w="542"/>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6778"/>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2034"/>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Г.1</w:t>
      </w:r>
    </w:p>
    <w:tbl>
      <w:tblPr>
        <w:tblStyle w:val="TableGrid"/>
        <w:tblW w:type="auto" w:w="0"/>
        <w:jc w:val="center"/>
        <w:tblLayout w:type="fixed"/>
        <w:tblLook w:firstColumn="1" w:firstRow="1" w:lastColumn="0" w:lastRow="0" w:noHBand="0" w:noVBand="1" w:val="04A0"/>
        <w:tblLayout w:type="fixed"/>
      </w:tblPr>
      <w:tblGrid>
        <w:gridCol w:w="567"/>
        <w:gridCol w:w="7026"/>
        <w:gridCol w:w="1763"/>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762"/>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поведение поиска, требования к версии Docker Compose, порядок развёртывания стенда и снятия показателей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объявляемые сроки и контакты, снятие режима по истечении срока,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 в карточке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вопрос о повторном запросе согласия при сохранении изменённого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команда очистки накопленных данных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