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1.43</w:t>
      </w:r>
    </w:p>
    <w:p>
      <w:pPr>
        <w:ind w:firstLine="0"/>
        <w:jc w:val="center"/>
      </w:pPr>
      <w:r>
        <w:rPr>
          <w:rFonts w:ascii="Times New Roman" w:hAnsi="Times New Roman" w:cs="Times New Roman" w:eastAsia="Times New Roman"/>
          <w:b w:val="0"/>
          <w:i w:val="0"/>
          <w:color w:val="000000"/>
          <w:sz w:val="26"/>
        </w:rPr>
        <w:t>Дата: 11.08.2026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ОГРАНИЧЕНИЯ НА ИСПОЛЬЗОВАНИЕ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интерфейсы и принятые в ней решения, принадлежит правообладателю. Передача документа не влечёт перехода к Получателю каких-либо прав на систему или на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Назначение передачи. </w:t>
      </w:r>
      <w:r>
        <w:rPr>
          <w:rFonts w:ascii="Times New Roman" w:hAnsi="Times New Roman" w:cs="Times New Roman" w:eastAsia="Times New Roman"/>
          <w:b w:val="0"/>
          <w:i w:val="0"/>
          <w:color w:val="000000"/>
          <w:sz w:val="24"/>
        </w:rPr>
        <w:t>Документ передан Получателю исключительно для ознакомления с системой и принятия решения о её приобретении и внедрении. Использование документа в иных целях не разрешается.</w:t>
      </w:r>
    </w:p>
    <w:p>
      <w:pPr>
        <w:spacing w:after="60" w:line="276" w:lineRule="auto"/>
        <w:ind w:firstLine="0"/>
        <w:jc w:val="both"/>
      </w:pPr>
      <w:r>
        <w:rPr>
          <w:rFonts w:ascii="Times New Roman" w:hAnsi="Times New Roman" w:cs="Times New Roman" w:eastAsia="Times New Roman"/>
          <w:b/>
          <w:i w:val="0"/>
          <w:color w:val="000000"/>
          <w:sz w:val="24"/>
        </w:rPr>
        <w:t xml:space="preserve">3. Запрет передачи третьим лицам. </w:t>
      </w:r>
      <w:r>
        <w:rPr>
          <w:rFonts w:ascii="Times New Roman" w:hAnsi="Times New Roman" w:cs="Times New Roman" w:eastAsia="Times New Roman"/>
          <w:b w:val="0"/>
          <w:i w:val="0"/>
          <w:color w:val="000000"/>
          <w:sz w:val="24"/>
        </w:rPr>
        <w:t>Документ, его части и любые производные материалы - копии, выдержки, переводы, изложения, презентации, снимки экрана - не подлежат передаче, пересылке, публикации и показу третьим лицам, включая подрядчиков и консультантов Получателя, без предварительного письменного согласия правообладателя. Внутри организации Получателя документ доводится только до работников, которым он необходим для оценки системы.</w:t>
      </w:r>
    </w:p>
    <w:p>
      <w:pPr>
        <w:spacing w:after="60" w:line="276" w:lineRule="auto"/>
        <w:ind w:firstLine="0"/>
        <w:jc w:val="both"/>
      </w:pPr>
      <w:r>
        <w:rPr>
          <w:rFonts w:ascii="Times New Roman" w:hAnsi="Times New Roman" w:cs="Times New Roman" w:eastAsia="Times New Roman"/>
          <w:b/>
          <w:i w:val="0"/>
          <w:color w:val="000000"/>
          <w:sz w:val="24"/>
        </w:rPr>
        <w:t xml:space="preserve">4. Запрет иного использования. </w:t>
      </w:r>
      <w:r>
        <w:rPr>
          <w:rFonts w:ascii="Times New Roman" w:hAnsi="Times New Roman" w:cs="Times New Roman" w:eastAsia="Times New Roman"/>
          <w:b w:val="0"/>
          <w:i w:val="0"/>
          <w:color w:val="000000"/>
          <w:sz w:val="24"/>
        </w:rPr>
        <w:t>Содержащиеся в документе сведения не подлежат использованию и передаче в целях, не предусмотренных пунктом 2 настоящего листа.</w:t>
      </w:r>
    </w:p>
    <w:p>
      <w:pPr>
        <w:spacing w:after="60" w:line="276" w:lineRule="auto"/>
        <w:ind w:firstLine="0"/>
        <w:jc w:val="both"/>
      </w:pPr>
      <w:r>
        <w:rPr>
          <w:rFonts w:ascii="Times New Roman" w:hAnsi="Times New Roman" w:cs="Times New Roman" w:eastAsia="Times New Roman"/>
          <w:b/>
          <w:i w:val="0"/>
          <w:color w:val="000000"/>
          <w:sz w:val="24"/>
        </w:rPr>
        <w:t xml:space="preserve">5. Отсутствие лицензии. </w:t>
      </w:r>
      <w:r>
        <w:rPr>
          <w:rFonts w:ascii="Times New Roman" w:hAnsi="Times New Roman" w:cs="Times New Roman" w:eastAsia="Times New Roman"/>
          <w:b w:val="0"/>
          <w:i w:val="0"/>
          <w:color w:val="000000"/>
          <w:sz w:val="24"/>
        </w:rPr>
        <w:t>Документ не является офертой, лицензией или разрешением на использование системы. Право использования системы возникает только на основании отдельного письменного договора с правообладателем.</w:t>
      </w:r>
    </w:p>
    <w:p>
      <w:pPr>
        <w:spacing w:after="60" w:line="276" w:lineRule="auto"/>
        <w:ind w:firstLine="0"/>
        <w:jc w:val="both"/>
      </w:pPr>
      <w:r>
        <w:rPr>
          <w:rFonts w:ascii="Times New Roman" w:hAnsi="Times New Roman" w:cs="Times New Roman" w:eastAsia="Times New Roman"/>
          <w:b/>
          <w:i w:val="0"/>
          <w:color w:val="000000"/>
          <w:sz w:val="24"/>
        </w:rPr>
        <w:t xml:space="preserve">6. Срок действия ограничений. </w:t>
      </w:r>
      <w:r>
        <w:rPr>
          <w:rFonts w:ascii="Times New Roman" w:hAnsi="Times New Roman" w:cs="Times New Roman" w:eastAsia="Times New Roman"/>
          <w:b w:val="0"/>
          <w:i w:val="0"/>
          <w:color w:val="000000"/>
          <w:sz w:val="24"/>
        </w:rPr>
        <w:t>Ограничения действуют бессрочно. Они не прекращаются отказом Получателя от приобретения системы, истечением пилотного периода, прекращением переговоров или возвратом документа.</w:t>
      </w:r>
    </w:p>
    <w:p>
      <w:pPr>
        <w:spacing w:after="60" w:line="276" w:lineRule="auto"/>
        <w:ind w:firstLine="0"/>
        <w:jc w:val="both"/>
      </w:pPr>
      <w:r>
        <w:rPr>
          <w:rFonts w:ascii="Times New Roman" w:hAnsi="Times New Roman" w:cs="Times New Roman" w:eastAsia="Times New Roman"/>
          <w:b/>
          <w:i w:val="0"/>
          <w:color w:val="000000"/>
          <w:sz w:val="24"/>
        </w:rPr>
        <w:t xml:space="preserve">7. Возврат и уничтожение. </w:t>
      </w:r>
      <w:r>
        <w:rPr>
          <w:rFonts w:ascii="Times New Roman" w:hAnsi="Times New Roman" w:cs="Times New Roman" w:eastAsia="Times New Roman"/>
          <w:b w:val="0"/>
          <w:i w:val="0"/>
          <w:color w:val="000000"/>
          <w:sz w:val="24"/>
        </w:rPr>
        <w:t>Если решение о приобретении не принято, а также по письменному требованию правообладателя, Получатель прекращает использование документа, удаляет его электронные копии и уничтожает бумажные экземпляры, подтверждая это письменно по запросу правообладателя.</w:t>
      </w:r>
    </w:p>
    <w:p>
      <w:pPr>
        <w:spacing w:after="60" w:line="276" w:lineRule="auto"/>
        <w:ind w:firstLine="0"/>
        <w:jc w:val="both"/>
      </w:pPr>
      <w:r>
        <w:rPr>
          <w:rFonts w:ascii="Times New Roman" w:hAnsi="Times New Roman" w:cs="Times New Roman" w:eastAsia="Times New Roman"/>
          <w:b/>
          <w:i w:val="0"/>
          <w:color w:val="000000"/>
          <w:sz w:val="24"/>
        </w:rPr>
        <w:t xml:space="preserve">8. Ответственность. </w:t>
      </w:r>
      <w:r>
        <w:rPr>
          <w:rFonts w:ascii="Times New Roman" w:hAnsi="Times New Roman" w:cs="Times New Roman" w:eastAsia="Times New Roman"/>
          <w:b w:val="0"/>
          <w:i w:val="0"/>
          <w:color w:val="000000"/>
          <w:sz w:val="24"/>
        </w:rPr>
        <w:t>Нарушение исключительного права влечёт ответственность, установленную законодательством Российской Федерации, включая возмещение убытков либо выплату компенсации, и не лишает правообладателя права требовать пресечения действий, нарушающих право.</w:t>
      </w:r>
    </w:p>
    <w:p>
      <w:pPr>
        <w:spacing w:after="60" w:line="276" w:lineRule="auto"/>
        <w:ind w:firstLine="0"/>
        <w:jc w:val="both"/>
      </w:pPr>
      <w:r>
        <w:rPr>
          <w:rFonts w:ascii="Times New Roman" w:hAnsi="Times New Roman" w:cs="Times New Roman" w:eastAsia="Times New Roman"/>
          <w:b/>
          <w:i w:val="0"/>
          <w:color w:val="000000"/>
          <w:sz w:val="24"/>
        </w:rPr>
        <w:t xml:space="preserve">9. Принятие условий. </w:t>
      </w:r>
      <w:r>
        <w:rPr>
          <w:rFonts w:ascii="Times New Roman" w:hAnsi="Times New Roman" w:cs="Times New Roman" w:eastAsia="Times New Roman"/>
          <w:b w:val="0"/>
          <w:i w:val="0"/>
          <w:color w:val="000000"/>
          <w:sz w:val="24"/>
        </w:rPr>
        <w:t>Получение и использование документа означает согласие с изложенными ограничениями. Получатель, не согласный с ними, обязан не использовать документ и уведомить правообладателя о его возврате или уничтожении.</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Защита передаваемых данных</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от типовых атак</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персональных данных при хранении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Учёт обращений к персональным данным</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Согласия на обработку персональных данных</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Журналы и прослеживаемость</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Автоматический контроль защищённости</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50</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268"/>
        <w:gridCol w:w="2806"/>
        <w:gridCol w:w="4282"/>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2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Подача заявок, свои справочники, личный кабинет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согласующего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Рассмотрение заявок, решение по согласованию, вопросы заявителю</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принимающего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ведущий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Приём заявки в работу, назначение постов и мест, дополнения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таблицы постов, аудит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13.6</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r>
        <w:rPr>
          <w:rFonts w:ascii="Times New Roman" w:hAnsi="Times New Roman" w:cs="Times New Roman" w:eastAsia="Times New Roman"/>
          <w:b w:val="0"/>
          <w:i w:val="0"/>
          <w:color w:val="000000"/>
          <w:sz w:val="28"/>
        </w:rPr>
        <w:t>Единственное, на что тип влияет напрямую, - круг получателей заявки: работника с типом «Руководитель» вправе выбрать получателем любой заявитель, в какой бы организации тот ни работал. Подробнее в подразделе 4.2.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57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блокировка учётной записи.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Так же устроена пересылка заявки. Передать её дальше вправе тот, кому она видна по делу: заявитель, работник бюро, принявший её в работу, назначенный ответственный или согласующий и тот, кому заявку открыли на просмотр. Супер-администратор границ не имеет и здесь. Работник, которому заявку открыли только на просмотр, передаёт её дальше тоже только на просмотр: назначить по ней согласующего или ответственного вправе тот, кто за заявку отвечает.</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199"/>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1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Круг тех, кому заявку показывают, ограничен и при подаче, и при пересылке. Получателей заявитель выбирает из работников своей организации, работников своей компании и руководителей; тот же круг проверяется на сервере, поэтому назвать получателем постороннего в обход формы нельзя, а лишний идентификатор в запросе отбрасывается, не отменяя подачу целиком. При пересылке ограничение действует так же, кроме супер-администратора и работника бюро, принимающего заявки: маршрутизация заявок по чужим организациям и есть его работа, и круг собственных коллег здесь только помешал бы.</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Состав участников заявки виден одним списком: заявитель, работник бюро, принявший её в работу, согласующие с их решениями, ответственные и те, кому заявку открыли на просмотр. На каждом показаны должность, организация и компания, а также рабочие контакты - почта и телефон, - чтобы связаться с человеком по заявке, не запрашивая его адрес у бюро. Список доступен участникам этой же заявки; тому, кто заявку не видит, система отвечает отказом. Работник, не подтвердивший согласие на обработку персональных данных, показан в списке скрытым и без контактов, см. подраздел 13.7.</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13.7. Обращение к выгрузке учитывается в журнале обращений к персональным данным, см. подраздел 13.6.</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13.7</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13.5.</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13.6.</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заканчивается завтра,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Там, где показывать нечего - например, у нового работника ещё нет ни одной заявки, - тур показывает пример на снимке экрана и продолжается дальше.</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1.25,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сообщается, что срок действия его пропуска заканчивается на следующий день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Снимается копия базы и файлов, устаревшие копии удаляются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509 методов в 39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не передаёт маркер доступа, поэтому они отдаются по прямой ссылке. Ссылка при этом неугадываема: имя файла на диске заменяется случайным, и получить его можно только из ответа метода, доступ к которому разграничен.</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13.4.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13.5.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а также выгрузка перечня заявок за период из центра заявок.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13.7.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13.8.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13.9.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285"/>
        <w:gridCol w:w="2227"/>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2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1 973 теста в 345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4 331 тест в 473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187 тестов в 46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6 491</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Состав средств приведён в подразделе 13.9.</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30"/>
        <w:gridCol w:w="5426"/>
      </w:tblGrid>
      <w:tr>
        <w:trPr>
          <w:tblHeader w:val="true"/>
          <w:cantSplit w:val="true"/>
        </w:trPr>
        <w:tc>
          <w:tcPr>
            <w:tcW w:type="dxa" w:w="39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459 710 строк в 1 659 файлах</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99 087 строк без тестов: 181 служба, 74 обработчика, 80 моделей данных</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195 045 строк: 39 экранов, 216 элементов</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509 в 39 группах</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6 491</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241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Доступ к разделу «Настройки» описан как отдельное право администратора, а не действие супер-администратора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выгрузка перечня заявок за период из центра заявок и её учёт в журнале обращений к персональным данным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обучения переписан под пять туров по кругу задач работника: выбор по правам, отдельный учёт прохождения, переход к нужному шагу;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массовый ввод участников из бланка: выдача пустого бланка с отметкой вида пропуска, отклонение негодного файла целиком, проверка строк теми же правилами, что и при ручном вводе, исправление проблемных строк и выбор мест прохода на весь список; добавлено право на массовый ввод</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Документ получил гриф конфиденциальности и лист ограничений на использование: цель передачи, запрет передачи третьим лицам и запрет воспроизведения описанного решения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круг получателей заявки при подаче и пересылке, новое правило пересылки и список участников заявки с рабочими контактами; обновлены количественные показатели</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