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2.0</w:t>
      </w:r>
    </w:p>
    <w:p>
      <w:pPr>
        <w:ind w:firstLine="0"/>
        <w:jc w:val="center"/>
      </w:pPr>
      <w:r>
        <w:rPr>
          <w:rFonts w:ascii="Times New Roman" w:hAnsi="Times New Roman" w:cs="Times New Roman" w:eastAsia="Times New Roman"/>
          <w:b w:val="0"/>
          <w:i w:val="0"/>
          <w:color w:val="000000"/>
          <w:sz w:val="26"/>
        </w:rPr>
        <w:t>Дата: 30.07.2026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Переименование базы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Текущее состояние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подлежит копированию</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Требования к процедуре</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49</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9.6.</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232"/>
        <w:gridCol w:w="1418"/>
        <w:gridCol w:w="4706"/>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6.3</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369"/>
        <w:gridCol w:w="6987"/>
      </w:tblGrid>
      <w:tr>
        <w:trPr>
          <w:tblHeader w:val="true"/>
          <w:cantSplit w:val="true"/>
        </w:trPr>
        <w:tc>
          <w:tcPr>
            <w:tcW w:type="dxa" w:w="23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9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98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1"/>
        <w:gridCol w:w="2126"/>
        <w:gridCol w:w="3678"/>
      </w:tblGrid>
      <w:tr>
        <w:trPr>
          <w:tblHeader w:val="true"/>
          <w:cantSplit w:val="true"/>
        </w:trPr>
        <w:tc>
          <w:tcPr>
            <w:tcW w:type="dxa" w:w="355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два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Текущее состояние</w:t>
      </w:r>
    </w:p>
    <w:p>
      <w:r>
        <w:rPr>
          <w:rFonts w:ascii="Times New Roman" w:hAnsi="Times New Roman" w:cs="Times New Roman" w:eastAsia="Times New Roman"/>
          <w:b w:val="0"/>
          <w:i w:val="0"/>
          <w:color w:val="000000"/>
          <w:sz w:val="28"/>
        </w:rPr>
        <w:t>Штатная процедура резервного копирования в составе системы отсутствует. Резервное копирование обеспечивается силами организации, где развёрнута система.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До настройки резервного копирования отказ дисковой подсистемы или ошибочная операция приведут к безвозвратной утрате всех данных, включая персональные.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данных: из образа нельзя извлечь отдельную таблицу, отменить последствия ошибочной операции или перенести данные на другой сервер.</w:t>
      </w:r>
    </w:p>
    <w:p>
      <w:pPr>
        <w:pStyle w:val="Heading2"/>
        <w:ind w:firstLine="0"/>
      </w:pPr>
      <w:r>
        <w:rPr>
          <w:rFonts w:ascii="Times New Roman" w:hAnsi="Times New Roman" w:cs="Times New Roman" w:eastAsia="Times New Roman"/>
          <w:b/>
          <w:i w:val="0"/>
          <w:color w:val="000000"/>
          <w:sz w:val="28"/>
        </w:rPr>
        <w:t>11.2. Что подлежит копированию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053"/>
        <w:gridCol w:w="4893"/>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48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Требования к процедуре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Копия базы создаётся логической выгрузкой средствами СУБД, а не копированием файлов работающей базы: такая копия непригодна для восстановления.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Ключ шифрования персональных данных хранится отдельно от копий базы. При хранении вместе компрометация архива означает компрометацию персональных данных.</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содержащие персональные данные, защищаются наравне с самой системой.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хранятся вне сервера системы: копия на том же диске не защищает от отказа диска.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Восстановимость проверяется регулярно. Копия, из которой ни разу не восстанавливались, резервной копией не является.</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437"/>
        <w:gridCol w:w="2934"/>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4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9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829"/>
        <w:gridCol w:w="1962"/>
        <w:gridCol w:w="4565"/>
      </w:tblGrid>
      <w:tr>
        <w:trPr>
          <w:tblHeader w:val="true"/>
          <w:cantSplit w:val="true"/>
        </w:trPr>
        <w:tc>
          <w:tcPr>
            <w:tcW w:type="dxa" w:w="28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13.2</w:t>
      </w:r>
    </w:p>
    <w:tbl>
      <w:tblPr>
        <w:tblStyle w:val="TableGrid"/>
        <w:tblW w:type="auto" w:w="0"/>
        <w:jc w:val="center"/>
        <w:tblLayout w:type="fixed"/>
        <w:tblLook w:firstColumn="1" w:firstRow="1" w:lastColumn="0" w:lastRow="0" w:noHBand="0" w:noVBand="1" w:val="04A0"/>
        <w:tblLayout w:type="fixed"/>
      </w:tblPr>
      <w:tblGrid>
        <w:gridCol w:w="844"/>
        <w:gridCol w:w="1619"/>
        <w:gridCol w:w="6893"/>
      </w:tblGrid>
      <w:tr>
        <w:trPr>
          <w:tblHeader w:val="true"/>
          <w:cantSplit w:val="true"/>
        </w:trPr>
        <w:tc>
          <w:tcPr>
            <w:tcW w:type="dxa" w:w="8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6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8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844"/>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1619"/>
          </w:tcPr>
          <w:p>
            <w:pPr>
              <w:spacing w:line="240" w:lineRule="auto" w:after="0"/>
              <w:ind w:firstLine="0"/>
              <w:jc w:val="left"/>
            </w:pPr>
            <w:r>
              <w:rPr>
                <w:rFonts w:ascii="Courier New" w:hAnsi="Courier New" w:cs="Courier New" w:eastAsia="Courier New"/>
                <w:b w:val="0"/>
                <w:i w:val="0"/>
                <w:color w:val="000000"/>
                <w:sz w:val="20"/>
              </w:rPr>
              <w:t>df -h</w:t>
            </w:r>
          </w:p>
        </w:tc>
        <w:tc>
          <w:tcPr>
            <w:tcW w:type="dxa" w:w="689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384"/>
        <w:gridCol w:w="2357"/>
        <w:gridCol w:w="4614"/>
      </w:tblGrid>
      <w:tr>
        <w:trPr>
          <w:tblHeader w:val="true"/>
          <w:cantSplit w:val="true"/>
        </w:trPr>
        <w:tc>
          <w:tcPr>
            <w:tcW w:type="dxa" w:w="23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23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461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2357"/>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/dev/stdin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591"/>
        <w:gridCol w:w="1559"/>
        <w:gridCol w:w="2206"/>
      </w:tblGrid>
      <w:tr>
        <w:trPr>
          <w:tblHeader w:val="true"/>
          <w:cantSplit w:val="true"/>
        </w:trPr>
        <w:tc>
          <w:tcPr>
            <w:tcW w:type="dxa" w:w="5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59"/>
          </w:tcPr>
          <w:p>
            <w:pPr>
              <w:spacing w:line="240" w:lineRule="auto" w:after="0"/>
              <w:ind w:firstLine="0"/>
              <w:jc w:val="left"/>
            </w:pPr>
            <w:r>
              <w:rPr>
                <w:rFonts w:ascii="Courier New" w:hAnsi="Courier New" w:cs="Courier New" w:eastAsia="Courier New"/>
                <w:b w:val="0"/>
                <w:i w:val="0"/>
                <w:color w:val="000000"/>
                <w:sz w:val="20"/>
              </w:rPr>
              <w:t>100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59"/>
          </w:tcPr>
          <w:p>
            <w:pPr>
              <w:spacing w:line="240" w:lineRule="auto" w:after="0"/>
              <w:ind w:firstLine="0"/>
              <w:jc w:val="left"/>
            </w:pPr>
            <w:r>
              <w:rPr>
                <w:rFonts w:ascii="Courier New" w:hAnsi="Courier New" w:cs="Courier New" w:eastAsia="Courier New"/>
                <w:b w:val="0"/>
                <w:i w:val="0"/>
                <w:color w:val="000000"/>
                <w:sz w:val="20"/>
              </w:rPr>
              <w:t>14</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59"/>
          </w:tcPr>
          <w:p>
            <w:pPr>
              <w:spacing w:line="240" w:lineRule="auto" w:after="0"/>
              <w:ind w:firstLine="0"/>
              <w:jc w:val="left"/>
            </w:pPr>
            <w:r>
              <w:rPr>
                <w:rFonts w:ascii="Courier New" w:hAnsi="Courier New" w:cs="Courier New" w:eastAsia="Courier New"/>
                <w:b w:val="0"/>
                <w:i w:val="0"/>
                <w:color w:val="000000"/>
                <w:sz w:val="20"/>
              </w:rPr>
              <w:t>true</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7</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59"/>
          </w:tcPr>
          <w:p>
            <w:pPr>
              <w:spacing w:line="240" w:lineRule="auto" w:after="0"/>
              <w:ind w:firstLine="0"/>
              <w:jc w:val="left"/>
            </w:pPr>
            <w:r>
              <w:rPr>
                <w:rFonts w:ascii="Courier New" w:hAnsi="Courier New" w:cs="Courier New" w:eastAsia="Courier New"/>
                <w:b w:val="0"/>
                <w:i w:val="0"/>
                <w:color w:val="000000"/>
                <w:sz w:val="20"/>
              </w:rPr>
              <w:t>60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В.1</w:t>
      </w:r>
    </w:p>
    <w:tbl>
      <w:tblPr>
        <w:tblStyle w:val="TableGrid"/>
        <w:tblW w:type="auto" w:w="0"/>
        <w:jc w:val="center"/>
        <w:tblLayout w:type="fixed"/>
        <w:tblLook w:firstColumn="1" w:firstRow="1" w:lastColumn="0" w:lastRow="0" w:noHBand="0" w:noVBand="1" w:val="04A0"/>
        <w:tblLayout w:type="fixed"/>
      </w:tblPr>
      <w:tblGrid>
        <w:gridCol w:w="6323"/>
        <w:gridCol w:w="3032"/>
      </w:tblGrid>
      <w:tr>
        <w:trPr>
          <w:tblHeader w:val="true"/>
          <w:cantSplit w:val="true"/>
        </w:trPr>
        <w:tc>
          <w:tcPr>
            <w:tcW w:type="dxa" w:w="63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30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632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3032"/>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632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3032"/>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поведение поиска, требования к версии Docker Compose, порядок развёртывания стенда и снятия показателей</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объявляемые сроки и контакты, снятие режима по истечении срока, вход супер-администратора и аварийное снятие командой</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 обновлены количественные показатели</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 обновлены количественные показатели</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2.0</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