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Компании, Места разгрузки, Форматы номеров, Гражданства, Марки авто, Типы вложений, Типы пользователей, Принимающие, Документы, Новости и объявления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 Выдать их обычному работнику нельзя: право сохранится, но действовать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дело не в правах: запись заблокирована и права не проверялись.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