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и согласующий - разные роли, и путать их не следует. 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 своей организации, и его работа описана в отдельном документе, «Руководство согласующего».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Круг принимающих ведёт администратор в справочнике «Принимающие заявки». Там же ему можно задать отображаемое имя - тогда заявитель увидит в заявке его вместо настоящих фамилии и инициалов.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 после того, как истёк срок последнего вложения.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этим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- оно необязательно, но заявитель его увидит, и при отказе это единственное объяснение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Отметьте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блоке разбора три действия: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принять наименование как есть;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поправить опечатку;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это та же организация под другим написанием. Если совпадение находится сразу, система предлагает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