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fill="4F5BDF"/>
          </w:tcPr>
          <w:p>
            <w:pPr>
              <w:spacing w:before="200" w:after="20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8"/>
              </w:rPr>
              <w:t>СИСТЕМА ЭЛЕКТРОННОЙ ПОДАЧИ ЗАЯВОК «БЮРО ПРОПУСКОВ»</w:t>
            </w:r>
          </w:p>
        </w:tc>
      </w:tr>
    </w:tbl>
    <w:p/>
    <w:p/>
    <w:p/>
    <w:p/>
    <w:p/>
    <w:p/>
    <w:p>
      <w:pPr>
        <w:spacing w:after="160"/>
        <w:jc w:val="center"/>
      </w:pPr>
      <w:r>
        <w:rPr>
          <w:rFonts w:ascii="Times New Roman" w:hAnsi="Times New Roman" w:cs="Times New Roman"/>
          <w:b/>
          <w:i w:val="0"/>
          <w:color w:val="000000"/>
          <w:sz w:val="60"/>
        </w:rPr>
        <w:t>ТЕХНИЧЕСКАЯ ДОКУМЕНТАЦИЯ</w:t>
      </w:r>
    </w:p>
    <w:p>
      <w:pPr>
        <w:spacing w:after="80"/>
        <w:jc w:val="center"/>
      </w:pPr>
      <w:r>
        <w:rPr>
          <w:rFonts w:ascii="Times New Roman" w:hAnsi="Times New Roman" w:cs="Times New Roman"/>
          <w:b w:val="0"/>
          <w:i w:val="0"/>
          <w:color w:val="5B6175"/>
          <w:sz w:val="28"/>
        </w:rPr>
        <w:t>Развёртывание, сопровождение и техническое описание системы</w:t>
      </w:r>
    </w:p>
    <w:p/>
    <w:p/>
    <w:p/>
    <w:p/>
    <w:p/>
    <w:p/>
    <w:p/>
    <w:p/>
    <w:p/>
    <w:p>
      <w:pPr>
        <w:spacing w:after="4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2"/>
        </w:rPr>
        <w:t>Аудитория: ИТ-специалисты, администраторы, инженеры сопровождения</w:t>
      </w:r>
    </w:p>
    <w:p/>
    <w:p/>
    <w:p>
      <w:pPr>
        <w:spacing w:after="4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Версия документа: 1.0</w:t>
      </w:r>
    </w:p>
    <w:p>
      <w:pPr>
        <w:spacing w:after="4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Дата: 20.06.2026</w:t>
      </w:r>
    </w:p>
    <w:p>
      <w:pPr>
        <w:spacing w:after="12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Документ актуален на 20.06.2026, соответствует текущей версии системы (ветка dev).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Оглавление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1. Введение и назначение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4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1.1. Назначение документа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4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1.2. Назначение системы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4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1.3. Состав документа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4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1.4. Термины и сокращения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4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2. Архитектура и технологический стек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6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2.1. Технологический стек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6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2.2. Слои и взаимодействие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6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2.3. Масштаб проекта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7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3. Требования к окружению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8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3.1. Развёртывание через Docker (рекомендуемое)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8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3.2. Развёртывание без Docker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8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3.3. Требования к production-серверу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8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3.4. Порты сервисов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8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4. Развёртывание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9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4.1. Развёртывание через Docker Compose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9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4.2. Развёртывание без Docker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10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4.3. Production-развёртывание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10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5. Конфигурация (переменные окружения)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12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5.1. База данных и сервер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12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5.2. Аутентификация (JWT)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12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5.3. Шифрование ПДн (152-ФЗ)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12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5.4. CORS и загрузка файлов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13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5.5. Rate limiting и пагинация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13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5.6. Прочие настройки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13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6. База данных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15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6.1. Миграции (AutoMigrate)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15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6.2. Ключевые доменные модели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15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6.3. Группы таблиц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16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7. Программный интерфейс (API)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17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7.1. Документация API (Swagger)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17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7.2. Конвейер обработки запроса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17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7.3. Группы маршрутов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17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8. Безопасность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19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8.1. Аутентификация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19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8.2. Авторизация (RBAC)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19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8.3. Защита от типовых атак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19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8.4. Сеть и инфраструктура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20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9. Соответствие 152-ФЗ и защита ПДн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21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9.1. Шифрование персональных данных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21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9.2. Аудит доступа к ПДн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21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9.3. Журнал согласий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21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10. CI/CD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22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10.1. Рабочие процессы (workflows)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22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10.2. Сканирование безопасности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22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11. Сопровождение и эксплуатация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24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11.1. Резервное копирование PostgreSQL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24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11.2. Мониторинг и проверка состояния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24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11.3. Обновление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24</w:t>
      </w:r>
    </w:p>
    <w:p>
      <w:pPr>
        <w:tabs>
          <w:tab w:pos="9241" w:val="right" w:leader="dot"/>
        </w:tabs>
        <w:spacing w:after="80"/>
        <w:ind w:left="397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11.4. Откат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25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12. Архитектурные решения (ADR)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26</w:t>
      </w:r>
    </w:p>
    <w:p>
      <w:pPr>
        <w:tabs>
          <w:tab w:pos="9241" w:val="right" w:leader="dot"/>
        </w:tabs>
        <w:spacing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Лист регистрации изменений</w:t>
      </w:r>
      <w:r>
        <w:rPr>
          <w:rFonts w:ascii="Times New Roman" w:hAnsi="Times New Roman" w:cs="Times New Roman"/>
          <w:b w:val="0"/>
          <w:i w:val="0"/>
          <w:color w:val="5B6175"/>
          <w:sz w:val="24"/>
        </w:rPr>
        <w:tab/>
        <w:t>27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1. Введение и назначение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1.1. Назначение документа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Настоящий документ — техническая документация системы электронной подачи заявок «Бюро пропусков». Он описывает архитектуру системы, требования к окружению, порядок развёртывания, конфигурацию, устройство базы данных, программный интерфейс (API), реализованные меры безопасности и соответствие 152-ФЗ, организацию CI/CD и регламент сопровождения. Документ рассчитан на ИТ-специалистов: системных администраторов, инженеров развёртывания и сопровождения, разработчиков.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1.2. Назначение системы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Система автоматизирует работу бюро пропусков: электронную подачу, согласование и учёт заявок на проход людей и проезд транспорта на территорию. Пользователи оформляют заявки и ведут справочники сотрудников и автомобилей, ответственные согласуют заявки, администраторы управляют пользователями, организациями, правами доступа и системными справочниками. Система реализована как веб-приложение и не требует установки клиентского программного обеспечения, кроме современного браузера.</w:t>
      </w:r>
    </w:p>
    <w:p>
      <w:pPr>
        <w:spacing w:after="120"/>
      </w:pPr>
      <w:r>
        <w:rPr>
          <w:rFonts w:ascii="Times New Roman" w:hAnsi="Times New Roman" w:cs="Times New Roman"/>
          <w:b/>
          <w:i w:val="0"/>
          <w:sz w:val="24"/>
        </w:rPr>
        <w:t>Ключевые подсистемы: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Заявки — </w:t>
      </w:r>
      <w:r>
        <w:rPr>
          <w:rFonts w:ascii="Times New Roman" w:hAnsi="Times New Roman" w:cs="Times New Roman"/>
          <w:b w:val="0"/>
          <w:i w:val="0"/>
          <w:sz w:val="24"/>
        </w:rPr>
        <w:t>оформление, согласование, контроль статусов, история изменений, типы вложений (автозаявки, проведение работ, разовые пропуска).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Справочники — </w:t>
      </w:r>
      <w:r>
        <w:rPr>
          <w:rFonts w:ascii="Times New Roman" w:hAnsi="Times New Roman" w:cs="Times New Roman"/>
          <w:b w:val="0"/>
          <w:i w:val="0"/>
          <w:sz w:val="24"/>
        </w:rPr>
        <w:t>сотрудники, автомобили, организации, компании, отделы, места выгрузки, форматы номеров, гражданство.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Доступ — </w:t>
      </w:r>
      <w:r>
        <w:rPr>
          <w:rFonts w:ascii="Times New Roman" w:hAnsi="Times New Roman" w:cs="Times New Roman"/>
          <w:b w:val="0"/>
          <w:i w:val="0"/>
          <w:sz w:val="24"/>
        </w:rPr>
        <w:t>аутентификация, ролевая модель прав (RBAC), журналы входов и отказов.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Защита ПДн — </w:t>
      </w:r>
      <w:r>
        <w:rPr>
          <w:rFonts w:ascii="Times New Roman" w:hAnsi="Times New Roman" w:cs="Times New Roman"/>
          <w:b w:val="0"/>
          <w:i w:val="0"/>
          <w:sz w:val="24"/>
        </w:rPr>
        <w:t>шифрование персональных данных, аудит доступа, журнал согласий (152-ФЗ).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Администрирование — </w:t>
      </w:r>
      <w:r>
        <w:rPr>
          <w:rFonts w:ascii="Times New Roman" w:hAnsi="Times New Roman" w:cs="Times New Roman"/>
          <w:b w:val="0"/>
          <w:i w:val="0"/>
          <w:sz w:val="24"/>
        </w:rPr>
        <w:t>управление пользователями, системные таблицы, новости, объявления, документы, обратная связь.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1.3. Состав документа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Документ построен по логике жизненного цикла развёртывания и эксплуатации: от обзора архитектуры и требований к окружению — через установку и настройку — к описанию базы данных, API, безопасности и регламентов сопровождения. Раздел «Архитектурные решения» фиксирует обоснование ключевого технологического выбора.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1.4. Термины и сокращения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1701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Термин</w:t>
            </w:r>
          </w:p>
        </w:tc>
        <w:tc>
          <w:tcPr>
            <w:tcW w:type="dxa" w:w="7370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Расшифровка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SPA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Single Page Application — одностраничное веб-приложение, работающее в браузере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API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Application Programming Interface — программный интерфейс взаимодействия с сервером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REST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Архитектурный стиль построения HTTP-API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JWT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JSON Web Token — подписанный токен для аутентификации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ORM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Object-Relational Mapping — отображение объектов на таблицы БД (здесь — GORM)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RBAC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Role-Based Access Control — управление доступом на основе ролей и прав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ПДн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Персональные данные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152-ФЗ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Федеральный закон «О персональных данных»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ADR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Architecture Decision Record — запись архитектурного решения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CI/CD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Continuous Integration / Continuous Delivery — непрерывная интеграция и доставка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Т/С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Транспортное средство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2. Архитектура и технологический стек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Система построена по классической трёхзвенной схеме: клиентский слой (SPA на Vue 3), серверный слой (REST API на Go и фреймворке Echo) и слой хранения данных (PostgreSQL). Все компоненты разворачиваются в контейнерах Docker и работают в изолированной сети за обратным прокси nginx.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300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00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1 — Общая архитектура системы и масштаб проекта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2.1. Технологический стек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Слой</w:t>
            </w:r>
          </w:p>
        </w:tc>
        <w:tc>
          <w:tcPr>
            <w:tcW w:type="dxa" w:w="3061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Технологии</w:t>
            </w:r>
          </w:p>
        </w:tc>
        <w:tc>
          <w:tcPr>
            <w:tcW w:type="dxa" w:w="3969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Клиент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Vue 3, Vue Router 4, Pinia, Vite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SPA-интерфейс, маршрутизация, управление состоянием, сборка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Сервер приложений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Go 1.25, Echo v4, GORM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REST API, бизнес-логика, ORM, middleware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База данных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PostgreSQL 16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Хранение данных, шифрование ПДн на уровне полей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Инфраструктура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Docker Compose, nginx, GitHub Actions</w:t>
            </w:r>
          </w:p>
        </w:tc>
        <w:tc>
          <w:tcPr>
            <w:tcW w:type="dxa" w:w="3969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Контейнеризация, обратный прокси, CI/CD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2.2. Слои и взаимодействие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Клиентский слой — </w:t>
      </w:r>
      <w:r>
        <w:rPr>
          <w:rFonts w:ascii="Times New Roman" w:hAnsi="Times New Roman" w:cs="Times New Roman"/>
          <w:b w:val="0"/>
          <w:i w:val="0"/>
          <w:sz w:val="24"/>
        </w:rPr>
        <w:t>браузер пользователя загружает SPA (Vue 3) и обменивается с сервером по REST API поверх HTTPS. Состояние токенов, прав и интерфейса хранится в Pinia-сторах.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Серверный слой — </w:t>
      </w:r>
      <w:r>
        <w:rPr>
          <w:rFonts w:ascii="Times New Roman" w:hAnsi="Times New Roman" w:cs="Times New Roman"/>
          <w:b w:val="0"/>
          <w:i w:val="0"/>
          <w:sz w:val="24"/>
        </w:rPr>
        <w:t>Go-сервис на Echo принимает HTTP-запросы, проводит их через конвейер middleware (идентификатор запроса, логирование, восстановление после паник, CORS, rate limiting, аудит ПДн, проверка JWT), вызывает сервисы бизнес-логики и обращается к БД через GORM.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Слой данных — </w:t>
      </w:r>
      <w:r>
        <w:rPr>
          <w:rFonts w:ascii="Times New Roman" w:hAnsi="Times New Roman" w:cs="Times New Roman"/>
          <w:b w:val="0"/>
          <w:i w:val="0"/>
          <w:sz w:val="24"/>
        </w:rPr>
        <w:t>PostgreSQL хранит все сущности. Схема поддерживается GORM AutoMigrate. Персональные данные шифруются на уровне полей через GORM-хуки.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2.3. Масштаб проекта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Объём реализации в цифрах (по ветке dev):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819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Показатель</w:t>
            </w:r>
          </w:p>
        </w:tc>
        <w:tc>
          <w:tcPr>
            <w:tcW w:type="dxa" w:w="4252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Значение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API: путей / операций / моделей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195 / 249 / 208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Таблиц базы данных (AutoMigrate)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44+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Доменных моделей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25+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Vue-компонентов / view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142 / 28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Тесты backend (Go)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666 (с race-детектором в CI)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Тесты frontend (vitest)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673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Сценарии E2E (Playwright)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41 (матрица из 4 шардов)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Архитектурные решения (ADR)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10</w:t>
            </w:r>
          </w:p>
        </w:tc>
      </w:tr>
      <w:tr>
        <w:tc>
          <w:tcPr>
            <w:tcW w:type="dxa" w:w="4819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Рабочие процессы CI/CD</w:t>
            </w:r>
          </w:p>
        </w:tc>
        <w:tc>
          <w:tcPr>
            <w:tcW w:type="dxa" w:w="4252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DADFFB"/>
          <w:left w:val="single" w:sz="8" w:color="DADFFB"/>
          <w:bottom w:val="single" w:sz="8" w:color="DADFFB"/>
          <w:right w:val="single" w:sz="8" w:color="DADFFB"/>
        </w:tblBorders>
      </w:tblPr>
      <w:tblGrid>
        <w:gridCol w:w="9355"/>
      </w:tblGrid>
      <w:tr>
        <w:tc>
          <w:tcPr>
            <w:tcW w:type="dxa" w:w="9355"/>
            <w:shd w:val="clear" w:fill="EEF0F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Примечание: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Метрика покрытия в процентах в репозитории не ведётся. Качество тестирования характеризуется числом тестов и их уровнями: backend-тесты интеграционные (поднимаются против реального PostgreSQL), E2E — сквозные на живом сервере.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3. Требования к окружению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3.1. Развёртывание через Docker (рекомендуемое)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Рекомендуемый способ — контейнерное развёртывание. Требования к хосту: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Docker — </w:t>
      </w:r>
      <w:r>
        <w:rPr>
          <w:rFonts w:ascii="Times New Roman" w:hAnsi="Times New Roman" w:cs="Times New Roman"/>
          <w:b w:val="0"/>
          <w:i w:val="0"/>
          <w:sz w:val="24"/>
        </w:rPr>
        <w:t>версии 24 и выше.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Docker Compose — </w:t>
      </w:r>
      <w:r>
        <w:rPr>
          <w:rFonts w:ascii="Times New Roman" w:hAnsi="Times New Roman" w:cs="Times New Roman"/>
          <w:b w:val="0"/>
          <w:i w:val="0"/>
          <w:sz w:val="24"/>
        </w:rPr>
        <w:t>версии v2.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Оперативная память — </w:t>
      </w:r>
      <w:r>
        <w:rPr>
          <w:rFonts w:ascii="Times New Roman" w:hAnsi="Times New Roman" w:cs="Times New Roman"/>
          <w:b w:val="0"/>
          <w:i w:val="0"/>
          <w:sz w:val="24"/>
        </w:rPr>
        <w:t>минимум 2 ГБ, рекомендуется 4 ГБ.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Операционная система — </w:t>
      </w:r>
      <w:r>
        <w:rPr>
          <w:rFonts w:ascii="Times New Roman" w:hAnsi="Times New Roman" w:cs="Times New Roman"/>
          <w:b w:val="0"/>
          <w:i w:val="0"/>
          <w:sz w:val="24"/>
        </w:rPr>
        <w:t>любой Linux-дистрибутив с поддержкой Docker (production-развёртывание выполняется на Linux-VPS).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3.2. Развёртывание без Docker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При установке напрямую на хост требуются: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Go — </w:t>
      </w:r>
      <w:r>
        <w:rPr>
          <w:rFonts w:ascii="Times New Roman" w:hAnsi="Times New Roman" w:cs="Times New Roman"/>
          <w:b w:val="0"/>
          <w:i w:val="0"/>
          <w:sz w:val="24"/>
        </w:rPr>
        <w:t>версии 1.25 и выше (для сборки и запуска backend).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Node.js — </w:t>
      </w:r>
      <w:r>
        <w:rPr>
          <w:rFonts w:ascii="Times New Roman" w:hAnsi="Times New Roman" w:cs="Times New Roman"/>
          <w:b w:val="0"/>
          <w:i w:val="0"/>
          <w:sz w:val="24"/>
        </w:rPr>
        <w:t>версии 18 и выше, а также npm (для сборки frontend).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PostgreSQL — </w:t>
      </w:r>
      <w:r>
        <w:rPr>
          <w:rFonts w:ascii="Times New Roman" w:hAnsi="Times New Roman" w:cs="Times New Roman"/>
          <w:b w:val="0"/>
          <w:i w:val="0"/>
          <w:sz w:val="24"/>
        </w:rPr>
        <w:t>версии 16.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3.3. Требования к production-серверу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CPU — </w:t>
      </w:r>
      <w:r>
        <w:rPr>
          <w:rFonts w:ascii="Times New Roman" w:hAnsi="Times New Roman" w:cs="Times New Roman"/>
          <w:b w:val="0"/>
          <w:i w:val="0"/>
          <w:sz w:val="24"/>
        </w:rPr>
        <w:t>2 и более ядер.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RAM — </w:t>
      </w:r>
      <w:r>
        <w:rPr>
          <w:rFonts w:ascii="Times New Roman" w:hAnsi="Times New Roman" w:cs="Times New Roman"/>
          <w:b w:val="0"/>
          <w:i w:val="0"/>
          <w:sz w:val="24"/>
        </w:rPr>
        <w:t>4 ГБ и более.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ПО — </w:t>
      </w:r>
      <w:r>
        <w:rPr>
          <w:rFonts w:ascii="Times New Roman" w:hAnsi="Times New Roman" w:cs="Times New Roman"/>
          <w:b w:val="0"/>
          <w:i w:val="0"/>
          <w:sz w:val="24"/>
        </w:rPr>
        <w:t>Docker и Docker Compose.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Сеть — </w:t>
      </w:r>
      <w:r>
        <w:rPr>
          <w:rFonts w:ascii="Times New Roman" w:hAnsi="Times New Roman" w:cs="Times New Roman"/>
          <w:b w:val="0"/>
          <w:i w:val="0"/>
          <w:sz w:val="24"/>
        </w:rPr>
        <w:t>домен с настроенной DNS A-записью (для выпуска TLS-сертификата).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3.4. Порты сервисов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Состав сервисов и используемые порты в развёртывании по умолчанию: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Сервис</w:t>
            </w:r>
          </w:p>
        </w:tc>
        <w:tc>
          <w:tcPr>
            <w:tcW w:type="dxa" w:w="1361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Порт</w:t>
            </w:r>
          </w:p>
        </w:tc>
        <w:tc>
          <w:tcPr>
            <w:tcW w:type="dxa" w:w="5669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db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5432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PostgreSQL 16 — база данных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go-backend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8080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Go API (REST)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frontend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8081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Vue 3 (dev-сервер) / собранный SPA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pgadmin</w:t>
            </w:r>
          </w:p>
        </w:tc>
        <w:tc>
          <w:tcPr>
            <w:tcW w:type="dxa" w:w="136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8082</w:t>
            </w:r>
          </w:p>
        </w:tc>
        <w:tc>
          <w:tcPr>
            <w:tcW w:type="dxa" w:w="5669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Веб-интерфейс администрирования БД (только dev/staging)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0C674"/>
          <w:left w:val="single" w:sz="8" w:color="F0C674"/>
          <w:bottom w:val="single" w:sz="8" w:color="F0C674"/>
          <w:right w:val="single" w:sz="8" w:color="F0C674"/>
        </w:tblBorders>
      </w:tblPr>
      <w:tblGrid>
        <w:gridCol w:w="9355"/>
      </w:tblGrid>
      <w:tr>
        <w:tc>
          <w:tcPr>
            <w:tcW w:type="dxa" w:w="9355"/>
            <w:shd w:val="clear" w:fill="FFF4E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Важно: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Сервис pgadmin доступен только в dev/staging-конфигурации. В production-окружении он отсутствует: прямой web-доступ к БД на production недопустим.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4. Развёртывание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4.1. Развёртывание через Docker Compose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Способ по умолчанию для dev и базового запуска. Схема контейнеров и сети показана на рисунке 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833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83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2 — Схема развёртывания (Docker Compose)</w:t>
      </w: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1. </w:t>
      </w:r>
      <w:r>
        <w:rPr>
          <w:rFonts w:ascii="Times New Roman" w:hAnsi="Times New Roman" w:cs="Times New Roman"/>
          <w:b/>
          <w:i w:val="0"/>
          <w:sz w:val="24"/>
        </w:rPr>
        <w:t>Клонировать репозиторий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D6D8E4"/>
          <w:left w:val="single" w:sz="6" w:color="D6D8E4"/>
          <w:bottom w:val="single" w:sz="6" w:color="D6D8E4"/>
          <w:right w:val="single" w:sz="6" w:color="D6D8E4"/>
        </w:tblBorders>
      </w:tblPr>
      <w:tblGrid>
        <w:gridCol w:w="9355"/>
      </w:tblGrid>
      <w:tr>
        <w:tc>
          <w:tcPr>
            <w:tcW w:type="dxa" w:w="9355"/>
            <w:shd w:val="clear" w:fill="F3F4F8"/>
          </w:tcPr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git clone &lt;repo&gt; &amp;&amp; cd systemburo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2. </w:t>
      </w:r>
      <w:r>
        <w:rPr>
          <w:rFonts w:ascii="Times New Roman" w:hAnsi="Times New Roman" w:cs="Times New Roman"/>
          <w:b/>
          <w:i w:val="0"/>
          <w:sz w:val="24"/>
        </w:rPr>
        <w:t>Создать файл окружения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Скопируйте шаблон и задайте безопасные значения секретов (см. раздел 5).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D6D8E4"/>
          <w:left w:val="single" w:sz="6" w:color="D6D8E4"/>
          <w:bottom w:val="single" w:sz="6" w:color="D6D8E4"/>
          <w:right w:val="single" w:sz="6" w:color="D6D8E4"/>
        </w:tblBorders>
      </w:tblPr>
      <w:tblGrid>
        <w:gridCol w:w="9355"/>
      </w:tblGrid>
      <w:tr>
        <w:tc>
          <w:tcPr>
            <w:tcW w:type="dxa" w:w="9355"/>
            <w:shd w:val="clear" w:fill="F3F4F8"/>
          </w:tcPr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cp .env.example .env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# задать DB_PASSWORD, JWT_SECRET, JWT_REFRESH_SECRET,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# DATA_ENCRYPTION_KEY (openssl rand -hex 32)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3. </w:t>
      </w:r>
      <w:r>
        <w:rPr>
          <w:rFonts w:ascii="Times New Roman" w:hAnsi="Times New Roman" w:cs="Times New Roman"/>
          <w:b/>
          <w:i w:val="0"/>
          <w:sz w:val="24"/>
        </w:rPr>
        <w:t>Запустить сервисы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D6D8E4"/>
          <w:left w:val="single" w:sz="6" w:color="D6D8E4"/>
          <w:bottom w:val="single" w:sz="6" w:color="D6D8E4"/>
          <w:right w:val="single" w:sz="6" w:color="D6D8E4"/>
        </w:tblBorders>
      </w:tblPr>
      <w:tblGrid>
        <w:gridCol w:w="9355"/>
      </w:tblGrid>
      <w:tr>
        <w:tc>
          <w:tcPr>
            <w:tcW w:type="dxa" w:w="9355"/>
            <w:shd w:val="clear" w:fill="F3F4F8"/>
          </w:tcPr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make up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# или: docker compose up -d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4. </w:t>
      </w:r>
      <w:r>
        <w:rPr>
          <w:rFonts w:ascii="Times New Roman" w:hAnsi="Times New Roman" w:cs="Times New Roman"/>
          <w:b/>
          <w:i w:val="0"/>
          <w:sz w:val="24"/>
        </w:rPr>
        <w:t>Проверить работоспособность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D6D8E4"/>
          <w:left w:val="single" w:sz="6" w:color="D6D8E4"/>
          <w:bottom w:val="single" w:sz="6" w:color="D6D8E4"/>
          <w:right w:val="single" w:sz="6" w:color="D6D8E4"/>
        </w:tblBorders>
      </w:tblPr>
      <w:tblGrid>
        <w:gridCol w:w="9355"/>
      </w:tblGrid>
      <w:tr>
        <w:tc>
          <w:tcPr>
            <w:tcW w:type="dxa" w:w="9355"/>
            <w:shd w:val="clear" w:fill="F3F4F8"/>
          </w:tcPr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curl http://localhost:8080/health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# {"status":"ok"}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5. </w:t>
      </w:r>
      <w:r>
        <w:rPr>
          <w:rFonts w:ascii="Times New Roman" w:hAnsi="Times New Roman" w:cs="Times New Roman"/>
          <w:b/>
          <w:i w:val="0"/>
          <w:sz w:val="24"/>
        </w:rPr>
        <w:t>Создать тестового администратора (dev)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Команда seed создаёт учётную запись для входа.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D6D8E4"/>
          <w:left w:val="single" w:sz="6" w:color="D6D8E4"/>
          <w:bottom w:val="single" w:sz="6" w:color="D6D8E4"/>
          <w:right w:val="single" w:sz="6" w:color="D6D8E4"/>
        </w:tblBorders>
      </w:tblPr>
      <w:tblGrid>
        <w:gridCol w:w="9355"/>
      </w:tblGrid>
      <w:tr>
        <w:tc>
          <w:tcPr>
            <w:tcW w:type="dxa" w:w="9355"/>
            <w:shd w:val="clear" w:fill="F3F4F8"/>
          </w:tcPr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make seed   # buropropuskov / admin123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# свой пароль: make seed PASS=mypassword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# демо-набор данных: make seed-demo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DADFFB"/>
          <w:left w:val="single" w:sz="8" w:color="DADFFB"/>
          <w:bottom w:val="single" w:sz="8" w:color="DADFFB"/>
          <w:right w:val="single" w:sz="8" w:color="DADFFB"/>
        </w:tblBorders>
      </w:tblPr>
      <w:tblGrid>
        <w:gridCol w:w="9355"/>
      </w:tblGrid>
      <w:tr>
        <w:tc>
          <w:tcPr>
            <w:tcW w:type="dxa" w:w="9355"/>
            <w:shd w:val="clear" w:fill="EEF0F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Точки доступа после запуска: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Backend — http://localhost:8080/health; Frontend — http://localhost:8081; pgAdmin — http://localhost:8082; Swagger UI — http://localhost:8080/swagger/index.html (при включённом SWAGGER_ENABLED).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4.2. Развёртывание без Docker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Раздельная установка backend и frontend на хост.</w:t>
      </w:r>
    </w:p>
    <w:p>
      <w:pPr>
        <w:spacing w:after="120"/>
      </w:pPr>
      <w:r>
        <w:rPr>
          <w:rFonts w:ascii="Times New Roman" w:hAnsi="Times New Roman" w:cs="Times New Roman"/>
          <w:b/>
          <w:i w:val="0"/>
          <w:sz w:val="24"/>
        </w:rPr>
        <w:t>Backend: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D6D8E4"/>
          <w:left w:val="single" w:sz="6" w:color="D6D8E4"/>
          <w:bottom w:val="single" w:sz="6" w:color="D6D8E4"/>
          <w:right w:val="single" w:sz="6" w:color="D6D8E4"/>
        </w:tblBorders>
      </w:tblPr>
      <w:tblGrid>
        <w:gridCol w:w="9355"/>
      </w:tblGrid>
      <w:tr>
        <w:tc>
          <w:tcPr>
            <w:tcW w:type="dxa" w:w="9355"/>
            <w:shd w:val="clear" w:fill="F3F4F8"/>
          </w:tcPr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go mod download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go install github.com/swaggo/swag/cmd/swag@latest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swag init -g cmd/server/main.go -o docs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export DATABASE_URL=postgres://user:pass@localhost:5432/auto_registry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export JWT_SECRET=your-secret-min-32-chars-here!!!!!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export JWT_REFRESH_SECRET=your-refresh-secret-min-32-chars!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export BIND_PORT=8080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go run ./cmd/server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imes New Roman" w:hAnsi="Times New Roman" w:cs="Times New Roman"/>
          <w:b/>
          <w:i w:val="0"/>
          <w:sz w:val="24"/>
        </w:rPr>
        <w:t>Frontend: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D6D8E4"/>
          <w:left w:val="single" w:sz="6" w:color="D6D8E4"/>
          <w:bottom w:val="single" w:sz="6" w:color="D6D8E4"/>
          <w:right w:val="single" w:sz="6" w:color="D6D8E4"/>
        </w:tblBorders>
      </w:tblPr>
      <w:tblGrid>
        <w:gridCol w:w="9355"/>
      </w:tblGrid>
      <w:tr>
        <w:tc>
          <w:tcPr>
            <w:tcW w:type="dxa" w:w="9355"/>
            <w:shd w:val="clear" w:fill="F3F4F8"/>
          </w:tcPr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cd frontend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npm ci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npm run serve   # dev-сервер на :8081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imes New Roman" w:hAnsi="Times New Roman" w:cs="Times New Roman"/>
          <w:b/>
          <w:i w:val="0"/>
          <w:sz w:val="24"/>
        </w:rPr>
        <w:t>База данных: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D6D8E4"/>
          <w:left w:val="single" w:sz="6" w:color="D6D8E4"/>
          <w:bottom w:val="single" w:sz="6" w:color="D6D8E4"/>
          <w:right w:val="single" w:sz="6" w:color="D6D8E4"/>
        </w:tblBorders>
      </w:tblPr>
      <w:tblGrid>
        <w:gridCol w:w="9355"/>
      </w:tblGrid>
      <w:tr>
        <w:tc>
          <w:tcPr>
            <w:tcW w:type="dxa" w:w="9355"/>
            <w:shd w:val="clear" w:fill="F3F4F8"/>
          </w:tcPr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createdb auto_registry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# миграции выполняются автоматически при старте backend (GORM AutoMigrate)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4.3. Production-развёртывание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Развёртывание на VPS с доменом и TLS.</w:t>
      </w: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1. </w:t>
      </w:r>
      <w:r>
        <w:rPr>
          <w:rFonts w:ascii="Times New Roman" w:hAnsi="Times New Roman" w:cs="Times New Roman"/>
          <w:b/>
          <w:i w:val="0"/>
          <w:sz w:val="24"/>
        </w:rPr>
        <w:t>Подготовить каталог и окружение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D6D8E4"/>
          <w:left w:val="single" w:sz="6" w:color="D6D8E4"/>
          <w:bottom w:val="single" w:sz="6" w:color="D6D8E4"/>
          <w:right w:val="single" w:sz="6" w:color="D6D8E4"/>
        </w:tblBorders>
      </w:tblPr>
      <w:tblGrid>
        <w:gridCol w:w="9355"/>
      </w:tblGrid>
      <w:tr>
        <w:tc>
          <w:tcPr>
            <w:tcW w:type="dxa" w:w="9355"/>
            <w:shd w:val="clear" w:fill="F3F4F8"/>
          </w:tcPr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git clone &lt;repo&gt; /opt/systemburo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cd /opt/systemburo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cp .env.example .env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# заполнить .env production-значениями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2. </w:t>
      </w:r>
      <w:r>
        <w:rPr>
          <w:rFonts w:ascii="Times New Roman" w:hAnsi="Times New Roman" w:cs="Times New Roman"/>
          <w:b/>
          <w:i w:val="0"/>
          <w:sz w:val="24"/>
        </w:rPr>
        <w:t>Собрать и запустить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D6D8E4"/>
          <w:left w:val="single" w:sz="6" w:color="D6D8E4"/>
          <w:bottom w:val="single" w:sz="6" w:color="D6D8E4"/>
          <w:right w:val="single" w:sz="6" w:color="D6D8E4"/>
        </w:tblBorders>
      </w:tblPr>
      <w:tblGrid>
        <w:gridCol w:w="9355"/>
      </w:tblGrid>
      <w:tr>
        <w:tc>
          <w:tcPr>
            <w:tcW w:type="dxa" w:w="9355"/>
            <w:shd w:val="clear" w:fill="F3F4F8"/>
          </w:tcPr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make deploy-build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make deploy-up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3. </w:t>
      </w:r>
      <w:r>
        <w:rPr>
          <w:rFonts w:ascii="Times New Roman" w:hAnsi="Times New Roman" w:cs="Times New Roman"/>
          <w:b/>
          <w:i w:val="0"/>
          <w:sz w:val="24"/>
        </w:rPr>
        <w:t>Настроить SSL (certbot)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D6D8E4"/>
          <w:left w:val="single" w:sz="6" w:color="D6D8E4"/>
          <w:bottom w:val="single" w:sz="6" w:color="D6D8E4"/>
          <w:right w:val="single" w:sz="6" w:color="D6D8E4"/>
        </w:tblBorders>
      </w:tblPr>
      <w:tblGrid>
        <w:gridCol w:w="9355"/>
      </w:tblGrid>
      <w:tr>
        <w:tc>
          <w:tcPr>
            <w:tcW w:type="dxa" w:w="9355"/>
            <w:shd w:val="clear" w:fill="F3F4F8"/>
          </w:tcPr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apt install certbot python3-certbot-nginx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certbot --nginx -d your-domain.com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4. </w:t>
      </w:r>
      <w:r>
        <w:rPr>
          <w:rFonts w:ascii="Times New Roman" w:hAnsi="Times New Roman" w:cs="Times New Roman"/>
          <w:b/>
          <w:i w:val="0"/>
          <w:sz w:val="24"/>
        </w:rPr>
        <w:t>Включить HTTPS-редирект и HSTS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После выпуска сертификата раскомментируйте редирект и добавьте HSTS-заголовок в nginx-конфигурации.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D6D8E4"/>
          <w:left w:val="single" w:sz="6" w:color="D6D8E4"/>
          <w:bottom w:val="single" w:sz="6" w:color="D6D8E4"/>
          <w:right w:val="single" w:sz="6" w:color="D6D8E4"/>
        </w:tblBorders>
      </w:tblPr>
      <w:tblGrid>
        <w:gridCol w:w="9355"/>
      </w:tblGrid>
      <w:tr>
        <w:tc>
          <w:tcPr>
            <w:tcW w:type="dxa" w:w="9355"/>
            <w:shd w:val="clear" w:fill="F3F4F8"/>
          </w:tcPr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# редирект на HTTPS: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return 301 https://$host$request_uri;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# HSTS: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add_header Strict-Transport-Security "max-age=31536000; includeSubDomains" always;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DADFFB"/>
          <w:left w:val="single" w:sz="8" w:color="DADFFB"/>
          <w:bottom w:val="single" w:sz="8" w:color="DADFFB"/>
          <w:right w:val="single" w:sz="8" w:color="DADFFB"/>
        </w:tblBorders>
      </w:tblPr>
      <w:tblGrid>
        <w:gridCol w:w="9355"/>
      </w:tblGrid>
      <w:tr>
        <w:tc>
          <w:tcPr>
            <w:tcW w:type="dxa" w:w="9355"/>
            <w:shd w:val="clear" w:fill="EEF0F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Порядок инициализации backend при старте: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Загрузка конфигурации из env -&gt; настройка логирования -&gt; инициализация шифрования -&gt; подключение к PostgreSQL -&gt; AutoMigrate (44+ таблиц, идемпотентно) -&gt; seed справочников по умолчанию -&gt; создание Echo и middleware -&gt; регистрация маршрутов -&gt; (опц.) Swagger UI -&gt; graceful shutdown по SIGINT/SIGTERM.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5. Конфигурация (переменные окружения)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Все настройки задаются переменными окружения (загружаются из .env). Значения валидируются при старте: при ошибке конфигурации сервис не запускается. Ниже — полный перечень переменных.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5.1. База данных и сервер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608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Переменная</w:t>
            </w:r>
          </w:p>
        </w:tc>
        <w:tc>
          <w:tcPr>
            <w:tcW w:type="dxa" w:w="4082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  <w:tc>
          <w:tcPr>
            <w:tcW w:type="dxa" w:w="850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Обяз.</w:t>
            </w:r>
          </w:p>
        </w:tc>
        <w:tc>
          <w:tcPr>
            <w:tcW w:type="dxa" w:w="1531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По умолчанию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DATABASE_URL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Строка подключения к PostgreSQL (postgres://...)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BIND_HOST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Адрес прослушивания backend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0.0.0.0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BIND_PORT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Порт backend (в .env.example и compose — 8080)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8090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LOG_LEVEL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Уровень логирования: debug/info/warn/error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info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SWAGGER_ENABLED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Включение Swagger UI (не для production)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false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5.2. Аутентификация (JWT)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608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Переменная</w:t>
            </w:r>
          </w:p>
        </w:tc>
        <w:tc>
          <w:tcPr>
            <w:tcW w:type="dxa" w:w="4082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  <w:tc>
          <w:tcPr>
            <w:tcW w:type="dxa" w:w="850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Обяз.</w:t>
            </w:r>
          </w:p>
        </w:tc>
        <w:tc>
          <w:tcPr>
            <w:tcW w:type="dxa" w:w="1531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По умолчанию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JWT_SECRET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Секрет подписи access-токена (&gt;= 32 символов)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JWT_REFRESH_SECRET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Секрет подписи refresh-токена (&gt;= 32 символов)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Да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JWT_ACCESS_TTL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Время жизни access-токена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15m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JWT_REFRESH_TTL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Время жизни refresh-токена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168h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COOKIE_SECURE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Флаг Secure на refresh-cookie (false для localhost)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true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5.3. Шифрование ПДн (152-ФЗ)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608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Переменная</w:t>
            </w:r>
          </w:p>
        </w:tc>
        <w:tc>
          <w:tcPr>
            <w:tcW w:type="dxa" w:w="4082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  <w:tc>
          <w:tcPr>
            <w:tcW w:type="dxa" w:w="850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Обяз.</w:t>
            </w:r>
          </w:p>
        </w:tc>
        <w:tc>
          <w:tcPr>
            <w:tcW w:type="dxa" w:w="1531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По умолчанию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DATA_ENCRYPTION_KEY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Ключ AES-256 (32 байта hex = 64 символа)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Нет*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"" (выкл.)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REQUIRE_ENCRYPTION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Требовать наличие ключа при старте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false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0C674"/>
          <w:left w:val="single" w:sz="8" w:color="F0C674"/>
          <w:bottom w:val="single" w:sz="8" w:color="F0C674"/>
          <w:right w:val="single" w:sz="8" w:color="F0C674"/>
        </w:tblBorders>
      </w:tblPr>
      <w:tblGrid>
        <w:gridCol w:w="9355"/>
      </w:tblGrid>
      <w:tr>
        <w:tc>
          <w:tcPr>
            <w:tcW w:type="dxa" w:w="9355"/>
            <w:shd w:val="clear" w:fill="FFF4E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Обязательность ключа в production: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Формально DATA_ENCRYPTION_KEY необязателен (без него система работает в режиме passthrough — ПДн пишутся в открытом виде). Для соответствия 152-ФЗ ключ ОБЯЗАН быть задан в production. Сгенерировать: openssl rand -hex 32. Установка REQUIRE_ENCRYPTION=true заставляет систему отказывать в старте без ключа.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5.4. CORS и загрузка файлов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835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Переменная</w:t>
            </w:r>
          </w:p>
        </w:tc>
        <w:tc>
          <w:tcPr>
            <w:tcW w:type="dxa" w:w="3742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  <w:tc>
          <w:tcPr>
            <w:tcW w:type="dxa" w:w="850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Обяз.</w:t>
            </w:r>
          </w:p>
        </w:tc>
        <w:tc>
          <w:tcPr>
            <w:tcW w:type="dxa" w:w="1644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По умолчанию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CORS_ALLOWED_ORIGINS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Список разрешённых источников (через запятую)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http://localhost:8081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UPLOAD_MAX_FILE_SIZE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Максимальный размер файла, байт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10485760 (10 МБ)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UPLOAD_ALLOWED_IMAGE_TYPES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Разрешённые MIME-типы изображений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jpeg, png, webp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UPLOAD_ALLOWED_DOC_TYPES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Разрешённые MIME-типы документов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pdf, docx</w:t>
            </w:r>
          </w:p>
        </w:tc>
      </w:tr>
      <w:tr>
        <w:tc>
          <w:tcPr>
            <w:tcW w:type="dxa" w:w="2835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UPLOAD_PATH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Каталог хранения загрузок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./uploads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5.5. Rate limiting и пагинация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3061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Переменная</w:t>
            </w:r>
          </w:p>
        </w:tc>
        <w:tc>
          <w:tcPr>
            <w:tcW w:type="dxa" w:w="3515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  <w:tc>
          <w:tcPr>
            <w:tcW w:type="dxa" w:w="850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Обяз.</w:t>
            </w:r>
          </w:p>
        </w:tc>
        <w:tc>
          <w:tcPr>
            <w:tcW w:type="dxa" w:w="1644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По умолчанию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RATE_LIMIT_PER_MINUTE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Лимит запросов в окне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200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RATE_LIMIT_WINDOW_SEC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Длительность окна, сек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60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LOGIN_RATE_LIMIT_MAX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Лимит попыток /login per-IP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10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LOGIN_RATE_LIMIT_WINDOW_SEC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Окно для login-лимита, сек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300</w:t>
            </w:r>
          </w:p>
        </w:tc>
      </w:tr>
      <w:tr>
        <w:tc>
          <w:tcPr>
            <w:tcW w:type="dxa" w:w="306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PAGINATION_MAX_LIMIT</w:t>
            </w:r>
          </w:p>
        </w:tc>
        <w:tc>
          <w:tcPr>
            <w:tcW w:type="dxa" w:w="3515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Максимальный размер страницы выдачи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164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100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5.6. Прочие настройки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608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Переменная</w:t>
            </w:r>
          </w:p>
        </w:tc>
        <w:tc>
          <w:tcPr>
            <w:tcW w:type="dxa" w:w="4082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  <w:tc>
          <w:tcPr>
            <w:tcW w:type="dxa" w:w="850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Обяз.</w:t>
            </w:r>
          </w:p>
        </w:tc>
        <w:tc>
          <w:tcPr>
            <w:tcW w:type="dxa" w:w="1531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По умолчанию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RESET_TIMEZONE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Часовой пояс ежедневного сброса территориальных статусов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Europe/Moscow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TELEGRAM_BOT_TOKEN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Токен бота для bug-репортов (опционально)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""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TELEGRAM_CHAT_ID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Идентификатор чата для bug-репортов</w:t>
            </w:r>
          </w:p>
        </w:tc>
        <w:tc>
          <w:tcPr>
            <w:tcW w:type="dxa" w:w="85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Нет</w:t>
            </w:r>
          </w:p>
        </w:tc>
        <w:tc>
          <w:tcPr>
            <w:tcW w:type="dxa" w:w="153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""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DADFFB"/>
          <w:left w:val="single" w:sz="8" w:color="DADFFB"/>
          <w:bottom w:val="single" w:sz="8" w:color="DADFFB"/>
          <w:right w:val="single" w:sz="8" w:color="DADFFB"/>
        </w:tblBorders>
      </w:tblPr>
      <w:tblGrid>
        <w:gridCol w:w="9355"/>
      </w:tblGrid>
      <w:tr>
        <w:tc>
          <w:tcPr>
            <w:tcW w:type="dxa" w:w="9355"/>
            <w:shd w:val="clear" w:fill="EEF0F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Валидация конфигурации: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При старте проверяются: длина JWT-секретов (&gt;= 32), формат DATABASE_URL (postgres://), допустимость LOG_LEVEL, положительность лимитов загрузки/пагинации/rate-limit, корректность ключа шифрования (если задан) и условие JWT_REFRESH_TTL &gt; JWT_ACCESS_TTL.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6. База данных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Хранилище — PostgreSQL 16. Схема описывается GORM-моделями (struct-теги), миграция выполняется автоматически при старте приложения механизмом AutoMigrate.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6.1. Миграции (AutoMigrate)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Идемпотентность — </w:t>
      </w:r>
      <w:r>
        <w:rPr>
          <w:rFonts w:ascii="Times New Roman" w:hAnsi="Times New Roman" w:cs="Times New Roman"/>
          <w:b w:val="0"/>
          <w:i w:val="0"/>
          <w:sz w:val="24"/>
        </w:rPr>
        <w:t>AutoMigrate безопасно запускать повторно; создаются недостающие таблицы и колонки (44+ таблиц).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Совместимость — </w:t>
      </w:r>
      <w:r>
        <w:rPr>
          <w:rFonts w:ascii="Times New Roman" w:hAnsi="Times New Roman" w:cs="Times New Roman"/>
          <w:b w:val="0"/>
          <w:i w:val="0"/>
          <w:sz w:val="24"/>
        </w:rPr>
        <w:t>миграция детектирует уже существующие таблицы (наследие предыдущего backend) и не ломает их.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Seed — </w:t>
      </w:r>
      <w:r>
        <w:rPr>
          <w:rFonts w:ascii="Times New Roman" w:hAnsi="Times New Roman" w:cs="Times New Roman"/>
          <w:b w:val="0"/>
          <w:i w:val="0"/>
          <w:sz w:val="24"/>
        </w:rPr>
        <w:t>при старте создаются справочники по умолчанию: 6 типов пользователей и набор прав по умолчанию.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0C674"/>
          <w:left w:val="single" w:sz="8" w:color="F0C674"/>
          <w:bottom w:val="single" w:sz="8" w:color="F0C674"/>
          <w:right w:val="single" w:sz="8" w:color="F0C674"/>
        </w:tblBorders>
      </w:tblPr>
      <w:tblGrid>
        <w:gridCol w:w="9355"/>
      </w:tblGrid>
      <w:tr>
        <w:tc>
          <w:tcPr>
            <w:tcW w:type="dxa" w:w="9355"/>
            <w:shd w:val="clear" w:fill="FFF4E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Ограничение AutoMigrate: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AutoMigrate не удаляет и не переименовывает колонки, не меняет типы и не откатывает изменения, не версионирует миграции. Для production рекомендуется перейти на файловые миграции (goose / golang-migrate). См. ADR-003.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6.2. Ключевые доменные модели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Основные сущности и их связи: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28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Модель</w:t>
            </w:r>
          </w:p>
        </w:tc>
        <w:tc>
          <w:tcPr>
            <w:tcW w:type="dxa" w:w="4876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Связи</w:t>
            </w:r>
          </w:p>
        </w:tc>
        <w:tc>
          <w:tcPr>
            <w:tcW w:type="dxa" w:w="2268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GORM-хуки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User</w:t>
            </w:r>
          </w:p>
        </w:tc>
        <w:tc>
          <w:tcPr>
            <w:tcW w:type="dxa" w:w="4876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belongs-to Organization, Company, UserType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Application</w:t>
            </w:r>
          </w:p>
        </w:tc>
        <w:tc>
          <w:tcPr>
            <w:tcW w:type="dxa" w:w="4876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has-many History, ResponsibleUsers, Approvers, Viewers, Reads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Employee</w:t>
            </w:r>
          </w:p>
        </w:tc>
        <w:tc>
          <w:tcPr>
            <w:tcW w:type="dxa" w:w="4876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belongs-to Attachment, Citizenship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BeforeSave: шифрование + HMAC; AfterFind: расшифровка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UniqueEmployee</w:t>
            </w:r>
          </w:p>
        </w:tc>
        <w:tc>
          <w:tcPr>
            <w:tcW w:type="dxa" w:w="4876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belongs-to Organization, Company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BeforeSave/AfterFind: шифрование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Car</w:t>
            </w:r>
          </w:p>
        </w:tc>
        <w:tc>
          <w:tcPr>
            <w:tcW w:type="dxa" w:w="4876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belongs-to Attachment; has-many CarHistory, CarUnloadPlaces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Attachment</w:t>
            </w:r>
          </w:p>
        </w:tc>
        <w:tc>
          <w:tcPr>
            <w:tcW w:type="dxa" w:w="4876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has-many Cars, Employees, Items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SystemTable</w:t>
            </w:r>
          </w:p>
        </w:tc>
        <w:tc>
          <w:tcPr>
            <w:tcW w:type="dxa" w:w="4876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has-many Photos, TimeSlots, Fields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PDConsent</w:t>
            </w:r>
          </w:p>
        </w:tc>
        <w:tc>
          <w:tcPr>
            <w:tcW w:type="dxa" w:w="4876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belongs-to User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PDAuditLog</w:t>
            </w:r>
          </w:p>
        </w:tc>
        <w:tc>
          <w:tcPr>
            <w:tcW w:type="dxa" w:w="4876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Асинхронная запись через middleware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6.3. Группы таблиц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Пользователи и доступ — </w:t>
      </w:r>
      <w:r>
        <w:rPr>
          <w:rFonts w:ascii="Times New Roman" w:hAnsi="Times New Roman" w:cs="Times New Roman"/>
          <w:b w:val="0"/>
          <w:i w:val="0"/>
          <w:sz w:val="24"/>
        </w:rPr>
        <w:t>users, user_types, refresh_tokens, auth_events, permissions, permission_groups, user_groups, user_permission_overrides, role_default_groups, access_denials.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Заявки — </w:t>
      </w:r>
      <w:r>
        <w:rPr>
          <w:rFonts w:ascii="Times New Roman" w:hAnsi="Times New Roman" w:cs="Times New Roman"/>
          <w:b w:val="0"/>
          <w:i w:val="0"/>
          <w:sz w:val="24"/>
        </w:rPr>
        <w:t>applications и связанные: история, ответственные, согласующие, просматривающие, отметки о прочтении, сотрудники и транспорт заявки.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Справочники — </w:t>
      </w:r>
      <w:r>
        <w:rPr>
          <w:rFonts w:ascii="Times New Roman" w:hAnsi="Times New Roman" w:cs="Times New Roman"/>
          <w:b w:val="0"/>
          <w:i w:val="0"/>
          <w:sz w:val="24"/>
        </w:rPr>
        <w:t>organizations, companies, departments, unload_places, citizenships, форматы номеров, system_tables и связанные.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Персональные данные — </w:t>
      </w:r>
      <w:r>
        <w:rPr>
          <w:rFonts w:ascii="Times New Roman" w:hAnsi="Times New Roman" w:cs="Times New Roman"/>
          <w:b w:val="0"/>
          <w:i w:val="0"/>
          <w:sz w:val="24"/>
        </w:rPr>
        <w:t>pd_consents (согласия), pd_audit_logs (аудит доступа к ПДн).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DADFFB"/>
          <w:left w:val="single" w:sz="8" w:color="DADFFB"/>
          <w:bottom w:val="single" w:sz="8" w:color="DADFFB"/>
          <w:right w:val="single" w:sz="8" w:color="DADFFB"/>
        </w:tblBorders>
      </w:tblPr>
      <w:tblGrid>
        <w:gridCol w:w="9355"/>
      </w:tblGrid>
      <w:tr>
        <w:tc>
          <w:tcPr>
            <w:tcW w:type="dxa" w:w="9355"/>
            <w:shd w:val="clear" w:fill="EEF0F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О диаграмме «сущность-связь»: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Отдельной ER-диаграммы (визуальной схемы) в репозитории нет — структура описана текстом в моделях и в документации backend. Для визуального исследования связей используется pgAdmin (см. раздел 3.4).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7. Программный интерфейс (API)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Сервер предоставляет REST API. Все ответы используют единый конверт: success, data, meta, error. Защищённые маршруты требуют access-токен в заголовке Authorization: Bearer.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7.1. Документация API (Swagger)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Спецификация — </w:t>
      </w:r>
      <w:r>
        <w:rPr>
          <w:rFonts w:ascii="Times New Roman" w:hAnsi="Times New Roman" w:cs="Times New Roman"/>
          <w:b w:val="0"/>
          <w:i w:val="0"/>
          <w:sz w:val="24"/>
        </w:rPr>
        <w:t>OpenAPI генерируется через swaggo (docs/swagger.json, docs/swagger.yaml, docs/docs.go).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Объём — </w:t>
      </w:r>
      <w:r>
        <w:rPr>
          <w:rFonts w:ascii="Times New Roman" w:hAnsi="Times New Roman" w:cs="Times New Roman"/>
          <w:b w:val="0"/>
          <w:i w:val="0"/>
          <w:sz w:val="24"/>
        </w:rPr>
        <w:t>195 путей, 249 операций, 208 моделей. Все операции имеют summary и теги (29 тег-групп).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Живой интерфейс — </w:t>
      </w:r>
      <w:r>
        <w:rPr>
          <w:rFonts w:ascii="Times New Roman" w:hAnsi="Times New Roman" w:cs="Times New Roman"/>
          <w:b w:val="0"/>
          <w:i w:val="0"/>
          <w:sz w:val="24"/>
        </w:rPr>
        <w:t>Swagger UI доступен по адресу /swagger/index.html при включённом SWAGGER_ENABLED (в production выключается).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7.2. Конвейер обработки запроса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Каждый запрос проходит цепочку middleware (для защищённых маршрутов добавляется проверка JWT):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D6D8E4"/>
          <w:left w:val="single" w:sz="6" w:color="D6D8E4"/>
          <w:bottom w:val="single" w:sz="6" w:color="D6D8E4"/>
          <w:right w:val="single" w:sz="6" w:color="D6D8E4"/>
        </w:tblBorders>
      </w:tblPr>
      <w:tblGrid>
        <w:gridCol w:w="9355"/>
      </w:tblGrid>
      <w:tr>
        <w:tc>
          <w:tcPr>
            <w:tcW w:type="dxa" w:w="9355"/>
            <w:shd w:val="clear" w:fill="F3F4F8"/>
          </w:tcPr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RequestID -&gt; Logger -&gt; Recover -&gt; CORS -&gt; RateLimit -&gt; PDAudit -&gt; [JWTAuth]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494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Middleware</w:t>
            </w:r>
          </w:p>
        </w:tc>
        <w:tc>
          <w:tcPr>
            <w:tcW w:type="dxa" w:w="6576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RequestID</w:t>
            </w:r>
          </w:p>
        </w:tc>
        <w:tc>
          <w:tcPr>
            <w:tcW w:type="dxa" w:w="6576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Присваивает X-Request-ID для сквозной трассировки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Logger</w:t>
            </w:r>
          </w:p>
        </w:tc>
        <w:tc>
          <w:tcPr>
            <w:tcW w:type="dxa" w:w="6576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Структурное логирование запросов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Recover</w:t>
            </w:r>
          </w:p>
        </w:tc>
        <w:tc>
          <w:tcPr>
            <w:tcW w:type="dxa" w:w="6576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Перехват паник, возврат корректной ошибки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CORS</w:t>
            </w:r>
          </w:p>
        </w:tc>
        <w:tc>
          <w:tcPr>
            <w:tcW w:type="dxa" w:w="6576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Контроль источников, поддержка credentials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RateLimit</w:t>
            </w:r>
          </w:p>
        </w:tc>
        <w:tc>
          <w:tcPr>
            <w:tcW w:type="dxa" w:w="6576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Ограничение частоты по IP/токену, очистка раз в 60 с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PDAudit</w:t>
            </w:r>
          </w:p>
        </w:tc>
        <w:tc>
          <w:tcPr>
            <w:tcW w:type="dxa" w:w="6576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Асинхронный аудит доступа к ПДн (/employees, /unique-employees, /attachments)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JWTAuth</w:t>
            </w:r>
          </w:p>
        </w:tc>
        <w:tc>
          <w:tcPr>
            <w:tcW w:type="dxa" w:w="6576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Проверка Bearer-токена, помещение данных пользователя в контекст</w:t>
            </w:r>
          </w:p>
        </w:tc>
      </w:tr>
      <w:tr>
        <w:tc>
          <w:tcPr>
            <w:tcW w:type="dxa" w:w="249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RequirePermission</w:t>
            </w:r>
          </w:p>
        </w:tc>
        <w:tc>
          <w:tcPr>
            <w:tcW w:type="dxa" w:w="6576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Проверка прав на отдельных маршрутах (опционально)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7.3. Группы маршрутов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Публичные — </w:t>
      </w:r>
      <w:r>
        <w:rPr>
          <w:rFonts w:ascii="Times New Roman" w:hAnsi="Times New Roman" w:cs="Times New Roman"/>
          <w:b w:val="0"/>
          <w:i w:val="0"/>
          <w:sz w:val="24"/>
        </w:rPr>
        <w:t>/register, /login, /refresh-token, /user-types, /health.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Защищённые (JWT) — </w:t>
      </w:r>
      <w:r>
        <w:rPr>
          <w:rFonts w:ascii="Times New Roman" w:hAnsi="Times New Roman" w:cs="Times New Roman"/>
          <w:b w:val="0"/>
          <w:i w:val="0"/>
          <w:sz w:val="24"/>
        </w:rPr>
        <w:t>22 группы: applications, cars, organizations, companies, users, employees, system-tables, unload-places, unique-cars, unique-employees, attachments, feedback, permissions, consents, settings и другие.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DADFFB"/>
          <w:left w:val="single" w:sz="8" w:color="DADFFB"/>
          <w:bottom w:val="single" w:sz="8" w:color="DADFFB"/>
          <w:right w:val="single" w:sz="8" w:color="DADFFB"/>
        </w:tblBorders>
      </w:tblPr>
      <w:tblGrid>
        <w:gridCol w:w="9355"/>
      </w:tblGrid>
      <w:tr>
        <w:tc>
          <w:tcPr>
            <w:tcW w:type="dxa" w:w="9355"/>
            <w:shd w:val="clear" w:fill="EEF0F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Полный список: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Исчерпывающий перечень эндпоинтов с параметрами и схемами доступен в Swagger UI (/swagger/index.html).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8. Безопасность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8.1. Аутентификация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Access-токен — </w:t>
      </w:r>
      <w:r>
        <w:rPr>
          <w:rFonts w:ascii="Times New Roman" w:hAnsi="Times New Roman" w:cs="Times New Roman"/>
          <w:b w:val="0"/>
          <w:i w:val="0"/>
          <w:sz w:val="24"/>
        </w:rPr>
        <w:t>JWT HS256, stateless, время жизни 15 минут. Алгоритм подписи проверяется (защита от alg-confusion).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Refresh-токен — </w:t>
      </w:r>
      <w:r>
        <w:rPr>
          <w:rFonts w:ascii="Times New Roman" w:hAnsi="Times New Roman" w:cs="Times New Roman"/>
          <w:b w:val="0"/>
          <w:i w:val="0"/>
          <w:sz w:val="24"/>
        </w:rPr>
        <w:t>отдельный JWT, время жизни 168 часов (7 дней). В БД хранится только sha256-хеш, не сам токен.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Ротация и обнаружение повторного использования — </w:t>
      </w:r>
      <w:r>
        <w:rPr>
          <w:rFonts w:ascii="Times New Roman" w:hAnsi="Times New Roman" w:cs="Times New Roman"/>
          <w:b w:val="0"/>
          <w:i w:val="0"/>
          <w:sz w:val="24"/>
        </w:rPr>
        <w:t>токены связаны в семьи (family_id); повторное предъявление отозванного токена инвалидирует всю семью (паттерн OWASP/Auth0), grace-window 10 с.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Пароли — </w:t>
      </w:r>
      <w:r>
        <w:rPr>
          <w:rFonts w:ascii="Times New Roman" w:hAnsi="Times New Roman" w:cs="Times New Roman"/>
          <w:b w:val="0"/>
          <w:i w:val="0"/>
          <w:sz w:val="24"/>
        </w:rPr>
        <w:t>Argon2id (m=19456, t=2, p=1), соль из crypto/rand, формат PHC, сравнение в постоянном времени.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Защита от перебора — </w:t>
      </w:r>
      <w:r>
        <w:rPr>
          <w:rFonts w:ascii="Times New Roman" w:hAnsi="Times New Roman" w:cs="Times New Roman"/>
          <w:b w:val="0"/>
          <w:i w:val="0"/>
          <w:sz w:val="24"/>
        </w:rPr>
        <w:t>блокировка учётной записи на 30 минут после 10 неудач + per-IP лимит на /login (10 за 5 минут).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Аудит входов — </w:t>
      </w:r>
      <w:r>
        <w:rPr>
          <w:rFonts w:ascii="Times New Roman" w:hAnsi="Times New Roman" w:cs="Times New Roman"/>
          <w:b w:val="0"/>
          <w:i w:val="0"/>
          <w:sz w:val="24"/>
        </w:rPr>
        <w:t>таблица auth_events фиксирует успешные/неудачные входы, блокировки, refresh, выход, повторное использование токена (с IP/UA).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Refresh-cookie — </w:t>
      </w:r>
      <w:r>
        <w:rPr>
          <w:rFonts w:ascii="Times New Roman" w:hAnsi="Times New Roman" w:cs="Times New Roman"/>
          <w:b w:val="0"/>
          <w:i w:val="0"/>
          <w:sz w:val="24"/>
        </w:rPr>
        <w:t>HttpOnly, Secure (в production), SameSite=Strict; в JSON refresh-токен не отдаётся.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8.2. Авторизация (RBAC)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Модель — </w:t>
      </w:r>
      <w:r>
        <w:rPr>
          <w:rFonts w:ascii="Times New Roman" w:hAnsi="Times New Roman" w:cs="Times New Roman"/>
          <w:b w:val="0"/>
          <w:i w:val="0"/>
          <w:sz w:val="24"/>
        </w:rPr>
        <w:t>ролевая (RBAC) на базе PermissionResolver: объединение прав ролей, групп пользователя и точечных переопределений.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Приоритеты — </w:t>
      </w:r>
      <w:r>
        <w:rPr>
          <w:rFonts w:ascii="Times New Roman" w:hAnsi="Times New Roman" w:cs="Times New Roman"/>
          <w:b w:val="0"/>
          <w:i w:val="0"/>
          <w:sz w:val="24"/>
        </w:rPr>
        <w:t>бан -&gt; запрет (высший приоритет); супер-админ -&gt; полный доступ; при конфликте deny побеждает allow.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Гранулярные ключи — </w:t>
      </w:r>
      <w:r>
        <w:rPr>
          <w:rFonts w:ascii="Times New Roman" w:hAnsi="Times New Roman" w:cs="Times New Roman"/>
          <w:b w:val="0"/>
          <w:i w:val="0"/>
          <w:sz w:val="24"/>
        </w:rPr>
        <w:t>page.admin, page.admin.blacklist, permission.audit.read/manage, action.ban.user и др. Кэш прав in-memory с TTL 30 с.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Журнал отказов — </w:t>
      </w:r>
      <w:r>
        <w:rPr>
          <w:rFonts w:ascii="Times New Roman" w:hAnsi="Times New Roman" w:cs="Times New Roman"/>
          <w:b w:val="0"/>
          <w:i w:val="0"/>
          <w:sz w:val="24"/>
        </w:rPr>
        <w:t>каждый ответ 403 фиксируется в таблице access_denials (IP, UA, ресурс, причина).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0C674"/>
          <w:left w:val="single" w:sz="8" w:color="F0C674"/>
          <w:bottom w:val="single" w:sz="8" w:color="F0C674"/>
          <w:right w:val="single" w:sz="8" w:color="F0C674"/>
        </w:tblBorders>
      </w:tblPr>
      <w:tblGrid>
        <w:gridCol w:w="9355"/>
      </w:tblGrid>
      <w:tr>
        <w:tc>
          <w:tcPr>
            <w:tcW w:type="dxa" w:w="9355"/>
            <w:shd w:val="clear" w:fill="FFF4E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Область применения RBAC: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Гранулярная проверка прав реально применена к части операций (ЧС, аудит, баны, документы). Часть protected-маршрутов защищена только проверкой JWT. При описании доступа корректно говорить «гранулярный доступ к критичным операциям», а не «ко всем маршрутам».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8.3. Защита от типовых атак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381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Угроза</w:t>
            </w:r>
          </w:p>
        </w:tc>
        <w:tc>
          <w:tcPr>
            <w:tcW w:type="dxa" w:w="6690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Мера защиты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SQL-инъекции</w:t>
            </w:r>
          </w:p>
        </w:tc>
        <w:tc>
          <w:tcPr>
            <w:tcW w:type="dxa" w:w="669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GORM + параметризованные запросы (плейсхолдеры), ORDER BY не из пользовательского ввода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XSS</w:t>
            </w:r>
          </w:p>
        </w:tc>
        <w:tc>
          <w:tcPr>
            <w:tcW w:type="dxa" w:w="669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Санитизация v-html через DOMPurify (whitelist) в frontend/src/utils/sanitize.js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CSRF</w:t>
            </w:r>
          </w:p>
        </w:tc>
        <w:tc>
          <w:tcPr>
            <w:tcW w:type="dxa" w:w="669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Access — через Authorization: Bearer (не cookie); refresh — SameSite=Strict HttpOnly cookie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Brute-force</w:t>
            </w:r>
          </w:p>
        </w:tc>
        <w:tc>
          <w:tcPr>
            <w:tcW w:type="dxa" w:w="669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Rate limiting + login-лимит + блокировка учётной записи; Argon2id растягивает каждую попытку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Перебор частотой / DoS</w:t>
            </w:r>
          </w:p>
        </w:tc>
        <w:tc>
          <w:tcPr>
            <w:tcW w:type="dxa" w:w="669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Глобальный rate limiter (200/60 с) + login-limiter (10/5 мин)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Некорректный ввод</w:t>
            </w:r>
          </w:p>
        </w:tc>
        <w:tc>
          <w:tcPr>
            <w:tcW w:type="dxa" w:w="669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go-playground/validator, enum-whitelist, лимит размера и MIME загрузок</w:t>
            </w:r>
          </w:p>
        </w:tc>
      </w:tr>
      <w:tr>
        <w:tc>
          <w:tcPr>
            <w:tcW w:type="dxa" w:w="2381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Паники сервера</w:t>
            </w:r>
          </w:p>
        </w:tc>
        <w:tc>
          <w:tcPr>
            <w:tcW w:type="dxa" w:w="669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Recover-middleware, generic-ошибки клиенту, детали — только в лог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8.4. Сеть и инфраструктура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Security-заголовки — </w:t>
      </w:r>
      <w:r>
        <w:rPr>
          <w:rFonts w:ascii="Times New Roman" w:hAnsi="Times New Roman" w:cs="Times New Roman"/>
          <w:b w:val="0"/>
          <w:i w:val="0"/>
          <w:sz w:val="24"/>
        </w:rPr>
        <w:t>на двух уровнях: Echo (X-Frame-Options, nosniff, CSP default-src self, HSTS) и nginx (HSTS preload, X-Frame, nosniff, Referrer-Policy, Permissions-Policy, CSP).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HTTPS — </w:t>
      </w:r>
      <w:r>
        <w:rPr>
          <w:rFonts w:ascii="Times New Roman" w:hAnsi="Times New Roman" w:cs="Times New Roman"/>
          <w:b w:val="0"/>
          <w:i w:val="0"/>
          <w:sz w:val="24"/>
        </w:rPr>
        <w:t>TLS терминируется на внешнем уровне (VPS), внутренний обмен — по HTTP внутри сети Docker. Staging под Basic Auth.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Docker — </w:t>
      </w:r>
      <w:r>
        <w:rPr>
          <w:rFonts w:ascii="Times New Roman" w:hAnsi="Times New Roman" w:cs="Times New Roman"/>
          <w:b w:val="0"/>
          <w:i w:val="0"/>
          <w:sz w:val="24"/>
        </w:rPr>
        <w:t>multi-stage сборка, образ на alpine, non-root пользователь (uid 1001), статический бинарь, HEALTHCHECK; CI проверяет запуск от non-root.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Секреты — </w:t>
      </w:r>
      <w:r>
        <w:rPr>
          <w:rFonts w:ascii="Times New Roman" w:hAnsi="Times New Roman" w:cs="Times New Roman"/>
          <w:b w:val="0"/>
          <w:i w:val="0"/>
          <w:sz w:val="24"/>
        </w:rPr>
        <w:t>только через env; JWT-секреты и DATABASE_URL обязательны и валидируются при старте; .env не хранится в репозитории.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9. Соответствие 152-ФЗ и защита ПДн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Система реализует технические меры защиты персональных данных: шифрование на уровне полей, аудит доступа и журнал согласий.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9.1. Шифрование персональных данных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Алгоритм — </w:t>
      </w:r>
      <w:r>
        <w:rPr>
          <w:rFonts w:ascii="Times New Roman" w:hAnsi="Times New Roman" w:cs="Times New Roman"/>
          <w:b w:val="0"/>
          <w:i w:val="0"/>
          <w:sz w:val="24"/>
        </w:rPr>
        <w:t>AES-256-GCM (аутентифицированное шифрование) для данных at rest.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Что шифруется — </w:t>
      </w:r>
      <w:r>
        <w:rPr>
          <w:rFonts w:ascii="Times New Roman" w:hAnsi="Times New Roman" w:cs="Times New Roman"/>
          <w:b w:val="0"/>
          <w:i w:val="0"/>
          <w:sz w:val="24"/>
        </w:rPr>
        <w:t>серия и номер паспорта (passport_series_number), номер патента (patent_number) на моделях Employee, UniqueEmployee, ApplicationEmployee.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Прозрачность — </w:t>
      </w:r>
      <w:r>
        <w:rPr>
          <w:rFonts w:ascii="Times New Roman" w:hAnsi="Times New Roman" w:cs="Times New Roman"/>
          <w:b w:val="0"/>
          <w:i w:val="0"/>
          <w:sz w:val="24"/>
        </w:rPr>
        <w:t>шифрование/расшифровка выполняются GORM-хуками BeforeSave/AfterFind, бизнес-логика их не видит.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Поиск по зашифрованным полям — </w:t>
      </w:r>
      <w:r>
        <w:rPr>
          <w:rFonts w:ascii="Times New Roman" w:hAnsi="Times New Roman" w:cs="Times New Roman"/>
          <w:b w:val="0"/>
          <w:i w:val="0"/>
          <w:sz w:val="24"/>
        </w:rPr>
        <w:t>детерминированный HMAC-SHA256 в отдельных колонках *_hmac с индексами (WHERE по HMAC без расшифровки таблицы).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9.2. Аудит доступа к ПДн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Механизм — </w:t>
      </w:r>
      <w:r>
        <w:rPr>
          <w:rFonts w:ascii="Times New Roman" w:hAnsi="Times New Roman" w:cs="Times New Roman"/>
          <w:b w:val="0"/>
          <w:i w:val="0"/>
          <w:sz w:val="24"/>
        </w:rPr>
        <w:t>middleware PDAudit логирует обращения к эндпоинтам с ПДн.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Покрытие — </w:t>
      </w:r>
      <w:r>
        <w:rPr>
          <w:rFonts w:ascii="Times New Roman" w:hAnsi="Times New Roman" w:cs="Times New Roman"/>
          <w:b w:val="0"/>
          <w:i w:val="0"/>
          <w:sz w:val="24"/>
        </w:rPr>
        <w:t>/employees, /unique-employees, /attachments.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Состав записи — </w:t>
      </w:r>
      <w:r>
        <w:rPr>
          <w:rFonts w:ascii="Times New Roman" w:hAnsi="Times New Roman" w:cs="Times New Roman"/>
          <w:b w:val="0"/>
          <w:i w:val="0"/>
          <w:sz w:val="24"/>
        </w:rPr>
        <w:t>пользователь, действие (по HTTP-методу), ресурс, IP, метод, путь, статус-код, время.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Хранение — </w:t>
      </w:r>
      <w:r>
        <w:rPr>
          <w:rFonts w:ascii="Times New Roman" w:hAnsi="Times New Roman" w:cs="Times New Roman"/>
          <w:b w:val="0"/>
          <w:i w:val="0"/>
          <w:sz w:val="24"/>
        </w:rPr>
        <w:t>таблица pd_audit_logs, запись асинхронная (в горутине с логированием ошибок).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9.3. Журнал согласий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API — </w:t>
      </w:r>
      <w:r>
        <w:rPr>
          <w:rFonts w:ascii="Times New Roman" w:hAnsi="Times New Roman" w:cs="Times New Roman"/>
          <w:b w:val="0"/>
          <w:i w:val="0"/>
          <w:sz w:val="24"/>
        </w:rPr>
        <w:t>/consents: выдать (POST), отозвать (DELETE /:type), список (GET), проверить активность (GET /check/:type).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Модель — </w:t>
      </w:r>
      <w:r>
        <w:rPr>
          <w:rFonts w:ascii="Times New Roman" w:hAnsi="Times New Roman" w:cs="Times New Roman"/>
          <w:b w:val="0"/>
          <w:i w:val="0"/>
          <w:sz w:val="24"/>
        </w:rPr>
        <w:t>PDConsent: user_id, тип согласия (pd_processing / pd_transfer), статус, IP, UA, метки времени выдачи и отзыва.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0C674"/>
          <w:left w:val="single" w:sz="8" w:color="F0C674"/>
          <w:bottom w:val="single" w:sz="8" w:color="F0C674"/>
          <w:right w:val="single" w:sz="8" w:color="F0C674"/>
        </w:tblBorders>
      </w:tblPr>
      <w:tblGrid>
        <w:gridCol w:w="9355"/>
      </w:tblGrid>
      <w:tr>
        <w:tc>
          <w:tcPr>
            <w:tcW w:type="dxa" w:w="9355"/>
            <w:shd w:val="clear" w:fill="FFF4E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Ключевое условие соответствия: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Шифрование ПДн ВКЛЮЧАЕТСЯ переменной DATA_ENCRYPTION_KEY. Если ключ не задан, система работает в режиме passthrough — персональные данные пишутся в открытом виде. Для соблюдения 152-ФЗ ключ обязателен в production; установка REQUIRE_ENCRYPTION=true гарантирует отказ старта без ключа.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10. CI/CD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Сборка, тестирование и доставка автоматизированы через GitHub Actions. Изменения проходят путь от пуша до автодеплоя на staging; production-деплой выполняется с подтверждением.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442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442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cs="Times New Roman"/>
          <w:b w:val="0"/>
          <w:i/>
          <w:color w:val="5B6175"/>
          <w:sz w:val="20"/>
        </w:rPr>
        <w:t>Рисунок 3 — Конвейер CI/CD (GitHub Actions)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10.1. Рабочие процессы (workflows)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154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Workflow</w:t>
            </w:r>
          </w:p>
        </w:tc>
        <w:tc>
          <w:tcPr>
            <w:tcW w:type="dxa" w:w="6917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ci.yml</w:t>
            </w:r>
          </w:p>
        </w:tc>
        <w:tc>
          <w:tcPr>
            <w:tcW w:type="dxa" w:w="6917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Главный конвейер: vet/lint, тесты (go test -race + PostgreSQL, vitest), docker-build, deploy-staging (push в dev), ci-summary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e2e.yml</w:t>
            </w:r>
          </w:p>
        </w:tc>
        <w:tc>
          <w:tcPr>
            <w:tcW w:type="dxa" w:w="6917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Playwright на PR в dev, матрица из 4 шардов, живой сервер + PostgreSQL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security.yml</w:t>
            </w:r>
          </w:p>
        </w:tc>
        <w:tc>
          <w:tcPr>
            <w:tcW w:type="dxa" w:w="6917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govulncheck (Go) + npm audit (high+) + Trivy (CRITICAL/HIGH); push, PR и еженедельно по расписанию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site-smoke.yml</w:t>
            </w:r>
          </w:p>
        </w:tc>
        <w:tc>
          <w:tcPr>
            <w:tcW w:type="dxa" w:w="6917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Краулер сайта: проверка доступности ключевых страниц</w:t>
            </w:r>
          </w:p>
        </w:tc>
      </w:tr>
      <w:tr>
        <w:tc>
          <w:tcPr>
            <w:tcW w:type="dxa" w:w="215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deploy-production.yml</w:t>
            </w:r>
          </w:p>
        </w:tc>
        <w:tc>
          <w:tcPr>
            <w:tcW w:type="dxa" w:w="6917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Деплой на production по push в prod или ручному запуску с подтверждением (environment approval)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10.2. Сканирование безопасности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govulncheck — </w:t>
      </w:r>
      <w:r>
        <w:rPr>
          <w:rFonts w:ascii="Times New Roman" w:hAnsi="Times New Roman" w:cs="Times New Roman"/>
          <w:b w:val="0"/>
          <w:i w:val="0"/>
          <w:sz w:val="24"/>
        </w:rPr>
        <w:t>поиск известных уязвимостей в Go-зависимостях.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npm audit — </w:t>
      </w:r>
      <w:r>
        <w:rPr>
          <w:rFonts w:ascii="Times New Roman" w:hAnsi="Times New Roman" w:cs="Times New Roman"/>
          <w:b w:val="0"/>
          <w:i w:val="0"/>
          <w:sz w:val="24"/>
        </w:rPr>
        <w:t>аудит frontend-зависимостей (high и выше для prod-зависимостей — блокирует).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Trivy — </w:t>
      </w:r>
      <w:r>
        <w:rPr>
          <w:rFonts w:ascii="Times New Roman" w:hAnsi="Times New Roman" w:cs="Times New Roman"/>
          <w:b w:val="0"/>
          <w:i w:val="0"/>
          <w:sz w:val="24"/>
        </w:rPr>
        <w:t>сканирование Docker-образов (уровни CRITICAL/HIGH, ignore-unfixed).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dependency-review — </w:t>
      </w:r>
      <w:r>
        <w:rPr>
          <w:rFonts w:ascii="Times New Roman" w:hAnsi="Times New Roman" w:cs="Times New Roman"/>
          <w:b w:val="0"/>
          <w:i w:val="0"/>
          <w:sz w:val="24"/>
        </w:rPr>
        <w:t>проверка зависимостей в PR.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DADFFB"/>
          <w:left w:val="single" w:sz="8" w:color="DADFFB"/>
          <w:bottom w:val="single" w:sz="8" w:color="DADFFB"/>
          <w:right w:val="single" w:sz="8" w:color="DADFFB"/>
        </w:tblBorders>
      </w:tblPr>
      <w:tblGrid>
        <w:gridCol w:w="9355"/>
      </w:tblGrid>
      <w:tr>
        <w:tc>
          <w:tcPr>
            <w:tcW w:type="dxa" w:w="9355"/>
            <w:shd w:val="clear" w:fill="EEF0F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Ветки и деплой: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dev — интеграционная (автодеплой на staging); staging — синхронизируется с dev; prod — production (автодеплой с approval). Feature-ветки issue/N сливаются в dev через PR и удаляются после merge.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11. Сопровождение и эксплуатация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11.1. Резервное копирование PostgreSQL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Бэкап базы средствами pg_dump из контейнера БД: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D6D8E4"/>
          <w:left w:val="single" w:sz="6" w:color="D6D8E4"/>
          <w:bottom w:val="single" w:sz="6" w:color="D6D8E4"/>
          <w:right w:val="single" w:sz="6" w:color="D6D8E4"/>
        </w:tblBorders>
      </w:tblPr>
      <w:tblGrid>
        <w:gridCol w:w="9355"/>
      </w:tblGrid>
      <w:tr>
        <w:tc>
          <w:tcPr>
            <w:tcW w:type="dxa" w:w="9355"/>
            <w:shd w:val="clear" w:fill="F3F4F8"/>
          </w:tcPr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docker compose -f docker-compose.prod.yml exec db \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 xml:space="preserve">  pg_dump -U postgres auto_registry &gt; backup.sql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Восстановление из дампа: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D6D8E4"/>
          <w:left w:val="single" w:sz="6" w:color="D6D8E4"/>
          <w:bottom w:val="single" w:sz="6" w:color="D6D8E4"/>
          <w:right w:val="single" w:sz="6" w:color="D6D8E4"/>
        </w:tblBorders>
      </w:tblPr>
      <w:tblGrid>
        <w:gridCol w:w="9355"/>
      </w:tblGrid>
      <w:tr>
        <w:tc>
          <w:tcPr>
            <w:tcW w:type="dxa" w:w="9355"/>
            <w:shd w:val="clear" w:fill="F3F4F8"/>
          </w:tcPr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docker compose -f docker-compose.prod.yml exec -i db \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 xml:space="preserve">  psql -U postgres auto_registry &lt; backup.sql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DADFFB"/>
          <w:left w:val="single" w:sz="8" w:color="DADFFB"/>
          <w:bottom w:val="single" w:sz="8" w:color="DADFFB"/>
          <w:right w:val="single" w:sz="8" w:color="DADFFB"/>
        </w:tblBorders>
      </w:tblPr>
      <w:tblGrid>
        <w:gridCol w:w="9355"/>
      </w:tblGrid>
      <w:tr>
        <w:tc>
          <w:tcPr>
            <w:tcW w:type="dxa" w:w="9355"/>
            <w:shd w:val="clear" w:fill="EEF0F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Рекомендация: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Регулярное резервное копирование настраивается планировщиком (cron) с хранением копий вне хоста БД. Персистентность данных обеспечивается named volume postgres-data.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11.2. Мониторинг и проверка состояния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Статус сервисов: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D6D8E4"/>
          <w:left w:val="single" w:sz="6" w:color="D6D8E4"/>
          <w:bottom w:val="single" w:sz="6" w:color="D6D8E4"/>
          <w:right w:val="single" w:sz="6" w:color="D6D8E4"/>
        </w:tblBorders>
      </w:tblPr>
      <w:tblGrid>
        <w:gridCol w:w="9355"/>
      </w:tblGrid>
      <w:tr>
        <w:tc>
          <w:tcPr>
            <w:tcW w:type="dxa" w:w="9355"/>
            <w:shd w:val="clear" w:fill="F3F4F8"/>
          </w:tcPr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docker compose -f docker-compose.prod.yml ps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Просмотр логов: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D6D8E4"/>
          <w:left w:val="single" w:sz="6" w:color="D6D8E4"/>
          <w:bottom w:val="single" w:sz="6" w:color="D6D8E4"/>
          <w:right w:val="single" w:sz="6" w:color="D6D8E4"/>
        </w:tblBorders>
      </w:tblPr>
      <w:tblGrid>
        <w:gridCol w:w="9355"/>
      </w:tblGrid>
      <w:tr>
        <w:tc>
          <w:tcPr>
            <w:tcW w:type="dxa" w:w="9355"/>
            <w:shd w:val="clear" w:fill="F3F4F8"/>
          </w:tcPr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make deploy-logs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Проверка работоспособности (health-check):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D6D8E4"/>
          <w:left w:val="single" w:sz="6" w:color="D6D8E4"/>
          <w:bottom w:val="single" w:sz="6" w:color="D6D8E4"/>
          <w:right w:val="single" w:sz="6" w:color="D6D8E4"/>
        </w:tblBorders>
      </w:tblPr>
      <w:tblGrid>
        <w:gridCol w:w="9355"/>
      </w:tblGrid>
      <w:tr>
        <w:tc>
          <w:tcPr>
            <w:tcW w:type="dxa" w:w="9355"/>
            <w:shd w:val="clear" w:fill="F3F4F8"/>
          </w:tcPr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curl http://localhost/health   # {"status":"ok"}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0C674"/>
          <w:left w:val="single" w:sz="8" w:color="F0C674"/>
          <w:bottom w:val="single" w:sz="8" w:color="F0C674"/>
          <w:right w:val="single" w:sz="8" w:color="F0C674"/>
        </w:tblBorders>
      </w:tblPr>
      <w:tblGrid>
        <w:gridCol w:w="9355"/>
      </w:tblGrid>
      <w:tr>
        <w:tc>
          <w:tcPr>
            <w:tcW w:type="dxa" w:w="9355"/>
            <w:shd w:val="clear" w:fill="FFF4E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О границах health-check: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Эндпоинт /health подтверждает, что процесс жив, но не гарантирует исправность всего API. Для полноценной проверки после деплоя дополнительно дёргают реальный прикладной эндпоинт. У контейнеров настроен HEALTHCHECK.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11.3. Обновление</w:t>
      </w: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1. </w:t>
      </w:r>
      <w:r>
        <w:rPr>
          <w:rFonts w:ascii="Times New Roman" w:hAnsi="Times New Roman" w:cs="Times New Roman"/>
          <w:b/>
          <w:i w:val="0"/>
          <w:sz w:val="24"/>
        </w:rPr>
        <w:t>Получить изменения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Подтянуть новую версию кода в каталог развёртывания (git pull / fetch нужной ветки).</w:t>
      </w: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2. </w:t>
      </w:r>
      <w:r>
        <w:rPr>
          <w:rFonts w:ascii="Times New Roman" w:hAnsi="Times New Roman" w:cs="Times New Roman"/>
          <w:b/>
          <w:i w:val="0"/>
          <w:sz w:val="24"/>
        </w:rPr>
        <w:t>Пересобрать образы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Выполнить сборку production-образов.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D6D8E4"/>
          <w:left w:val="single" w:sz="6" w:color="D6D8E4"/>
          <w:bottom w:val="single" w:sz="6" w:color="D6D8E4"/>
          <w:right w:val="single" w:sz="6" w:color="D6D8E4"/>
        </w:tblBorders>
      </w:tblPr>
      <w:tblGrid>
        <w:gridCol w:w="9355"/>
      </w:tblGrid>
      <w:tr>
        <w:tc>
          <w:tcPr>
            <w:tcW w:type="dxa" w:w="9355"/>
            <w:shd w:val="clear" w:fill="F3F4F8"/>
          </w:tcPr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make deploy-build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3. </w:t>
      </w:r>
      <w:r>
        <w:rPr>
          <w:rFonts w:ascii="Times New Roman" w:hAnsi="Times New Roman" w:cs="Times New Roman"/>
          <w:b/>
          <w:i w:val="0"/>
          <w:sz w:val="24"/>
        </w:rPr>
        <w:t>Перезапустить сервисы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Поднять обновлённые контейнеры; миграции схемы применятся автоматически при старте backend.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D6D8E4"/>
          <w:left w:val="single" w:sz="6" w:color="D6D8E4"/>
          <w:bottom w:val="single" w:sz="6" w:color="D6D8E4"/>
          <w:right w:val="single" w:sz="6" w:color="D6D8E4"/>
        </w:tblBorders>
      </w:tblPr>
      <w:tblGrid>
        <w:gridCol w:w="9355"/>
      </w:tblGrid>
      <w:tr>
        <w:tc>
          <w:tcPr>
            <w:tcW w:type="dxa" w:w="9355"/>
            <w:shd w:val="clear" w:fill="F3F4F8"/>
          </w:tcPr>
          <w:p>
            <w:pPr>
              <w:spacing w:after="0" w:before="0"/>
            </w:pPr>
            <w:r>
              <w:rPr>
                <w:rFonts w:ascii="Consolas" w:hAnsi="Consolas" w:cs="Consolas"/>
                <w:b w:val="0"/>
                <w:i w:val="0"/>
                <w:color w:val="222222"/>
                <w:sz w:val="19"/>
              </w:rPr>
              <w:t>make deploy-up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Шаг 4. </w:t>
      </w:r>
      <w:r>
        <w:rPr>
          <w:rFonts w:ascii="Times New Roman" w:hAnsi="Times New Roman" w:cs="Times New Roman"/>
          <w:b/>
          <w:i w:val="0"/>
          <w:sz w:val="24"/>
        </w:rPr>
        <w:t>Проверить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Убедиться в работоспособности (раздел 11.2) и проверить ключевой прикладной сценарий.</w:t>
      </w:r>
    </w:p>
    <w:p>
      <w:pPr>
        <w:pStyle w:val="Heading2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11.4. Откат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Откат кода — </w:t>
      </w:r>
      <w:r>
        <w:rPr>
          <w:rFonts w:ascii="Times New Roman" w:hAnsi="Times New Roman" w:cs="Times New Roman"/>
          <w:b w:val="0"/>
          <w:i w:val="0"/>
          <w:sz w:val="24"/>
        </w:rPr>
        <w:t>через git revert проблемного коммита и повторный деплой (для production — revert merge-коммита dev -&gt; prod).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Диагностика упавшего деплоя — </w:t>
      </w:r>
      <w:r>
        <w:rPr>
          <w:rFonts w:ascii="Times New Roman" w:hAnsi="Times New Roman" w:cs="Times New Roman"/>
          <w:b w:val="0"/>
          <w:i w:val="0"/>
          <w:sz w:val="24"/>
        </w:rPr>
        <w:t>SSH на VPS, просмотр логов backend контейнера (docker compose ... logs backend --tail=200).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F0C674"/>
          <w:left w:val="single" w:sz="8" w:color="F0C674"/>
          <w:bottom w:val="single" w:sz="8" w:color="F0C674"/>
          <w:right w:val="single" w:sz="8" w:color="F0C674"/>
        </w:tblBorders>
      </w:tblPr>
      <w:tblGrid>
        <w:gridCol w:w="9355"/>
      </w:tblGrid>
      <w:tr>
        <w:tc>
          <w:tcPr>
            <w:tcW w:type="dxa" w:w="9355"/>
            <w:shd w:val="clear" w:fill="FFF4E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Откат схемы БД: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AutoMigrate не откатывает изменения схемы. При откате версии, изменявшей структуру таблиц, учитывайте необратимость и опирайтесь на резервную копию (раздел 11.1).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12. Архитектурные решения (ADR)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Ключевые архитектурные решения зафиксированы в формате ADR (контекст, решение, последствия). Перечень: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794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№</w:t>
            </w:r>
          </w:p>
        </w:tc>
        <w:tc>
          <w:tcPr>
            <w:tcW w:type="dxa" w:w="6009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Решение</w:t>
            </w:r>
          </w:p>
        </w:tc>
        <w:tc>
          <w:tcPr>
            <w:tcW w:type="dxa" w:w="2268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Статус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001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Go вместо Rust (Echo v4, GORM)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Принято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002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Echo v4 как HTTP-фреймворк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Принято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003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GORM с AutoMigrate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Принято, требует пересмотра для production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004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AES-256-GCM + HMAC-SHA256 для шифрования ПДн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Принято (152-ФЗ)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005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Pinia вместо Vuex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Принято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006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Options API вместо Composition API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Принято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007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Кастомные skeleton-компоненты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Принято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008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In-memory rate limiter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Принято, с ограничениями</w:t>
            </w:r>
          </w:p>
        </w:tc>
      </w:tr>
      <w:tr>
        <w:tc>
          <w:tcPr>
            <w:tcW w:type="dxa" w:w="79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009</w:t>
            </w:r>
          </w:p>
        </w:tc>
        <w:tc>
          <w:tcPr>
            <w:tcW w:type="dxa" w:w="6009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pgAdmin вместо Adminer (dev only)</w:t>
            </w:r>
          </w:p>
        </w:tc>
        <w:tc>
          <w:tcPr>
            <w:tcW w:type="dxa" w:w="2268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Принято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Times New Roman" w:hAnsi="Times New Roman" w:cs="Times New Roman"/>
          <w:b/>
          <w:i w:val="0"/>
          <w:sz w:val="24"/>
        </w:rPr>
        <w:t>Кратко об отдельных решениях: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ADR-001 (Go вместо Rust) — </w:t>
      </w:r>
      <w:r>
        <w:rPr>
          <w:rFonts w:ascii="Times New Roman" w:hAnsi="Times New Roman" w:cs="Times New Roman"/>
          <w:b w:val="0"/>
          <w:i w:val="0"/>
          <w:sz w:val="24"/>
        </w:rPr>
        <w:t>переход на Go ускорил разработку и упростил порог входа; совместимость со схемой БД сохранена через детекцию существующих таблиц в AutoMigrate.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ADR-004 (AES-GCM + HMAC) — </w:t>
      </w:r>
      <w:r>
        <w:rPr>
          <w:rFonts w:ascii="Times New Roman" w:hAnsi="Times New Roman" w:cs="Times New Roman"/>
          <w:b w:val="0"/>
          <w:i w:val="0"/>
          <w:sz w:val="24"/>
        </w:rPr>
        <w:t>шифрование ПДн через GORM-хуки прозрачно для бизнес-логики; HMAC обеспечивает поиск без расшифровки. Ограничения: нет ротации ключей, base64-overhead.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 xml:space="preserve">ADR-008 (in-memory rate limiter) — </w:t>
      </w:r>
      <w:r>
        <w:rPr>
          <w:rFonts w:ascii="Times New Roman" w:hAnsi="Times New Roman" w:cs="Times New Roman"/>
          <w:b w:val="0"/>
          <w:i w:val="0"/>
          <w:sz w:val="24"/>
        </w:rPr>
        <w:t>нет внешних зависимостей и сетевых задержек; не подходит для горизонтального масштабирования (счётчики у каждого инстанса свои, сбрасываются при рестарте) — при росте заменить на внешнее хранилище.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DADFFB"/>
          <w:left w:val="single" w:sz="8" w:color="DADFFB"/>
          <w:bottom w:val="single" w:sz="8" w:color="DADFFB"/>
          <w:right w:val="single" w:sz="8" w:color="DADFFB"/>
        </w:tblBorders>
      </w:tblPr>
      <w:tblGrid>
        <w:gridCol w:w="9355"/>
      </w:tblGrid>
      <w:tr>
        <w:tc>
          <w:tcPr>
            <w:tcW w:type="dxa" w:w="9355"/>
            <w:shd w:val="clear" w:fill="EEF0F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4"/>
              </w:rPr>
              <w:t xml:space="preserve">Где смотреть полностью: 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Полные тексты ADR с разделами «Контекст / Решение / Последствия» — в каталоге docs/adr/ репозитория.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b/>
          <w:i w:val="0"/>
          <w:color w:val="000000"/>
          <w:sz w:val="34"/>
        </w:rPr>
        <w:t>Лист регистрации изменений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4"/>
        </w:rPr>
        <w:t>В таблице фиксируются изменения документа по мере развития системы.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74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Дата</w:t>
            </w:r>
          </w:p>
        </w:tc>
        <w:tc>
          <w:tcPr>
            <w:tcW w:type="dxa" w:w="1020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Версия</w:t>
            </w:r>
          </w:p>
        </w:tc>
        <w:tc>
          <w:tcPr>
            <w:tcW w:type="dxa" w:w="4819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Описание изменения</w:t>
            </w:r>
          </w:p>
        </w:tc>
        <w:tc>
          <w:tcPr>
            <w:tcW w:type="dxa" w:w="1814"/>
            <w:shd w:val="clear" w:fill="4F5BDF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/>
                <w:i w:val="0"/>
                <w:color w:val="FFFFFF"/>
                <w:sz w:val="24"/>
              </w:rPr>
              <w:t>Автор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20.06.2026</w:t>
            </w:r>
          </w:p>
        </w:tc>
        <w:tc>
          <w:tcPr>
            <w:tcW w:type="dxa" w:w="1020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1.0</w:t>
            </w:r>
          </w:p>
        </w:tc>
        <w:tc>
          <w:tcPr>
            <w:tcW w:type="dxa" w:w="4819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Первая редакция технической документации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Бюро пропусков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b w:val="0"/>
        <w:i w:val="0"/>
        <w:color w:val="5B6175"/>
        <w:sz w:val="18"/>
      </w:rPr>
      <w:t xml:space="preserve">Страница </w:t>
    </w:r>
    <w:r>
      <w:fldChar w:fldCharType="begin"/>
    </w:r>
    <w:r>
      <w:instrText xml:space="preserve">PAGE</w:instrText>
    </w:r>
    <w:r>
      <w:fldChar w:fldCharType="separate"/>
    </w:r>
    <w:r>
      <w:rPr>
        <w:rFonts w:ascii="Times New Roman" w:hAnsi="Times New Roman" w:cs="Times New Roman"/>
        <w:b w:val="0"/>
        <w:i w:val="0"/>
        <w:color w:val="5B6175"/>
        <w:sz w:val="18"/>
      </w:rPr>
      <w:t>1</w:t>
    </w:r>
    <w:r>
      <w:fldChar w:fldCharType="end"/>
    </w:r>
    <w:r>
      <w:rPr>
        <w:rFonts w:ascii="Times New Roman" w:hAnsi="Times New Roman" w:cs="Times New Roman"/>
        <w:b w:val="0"/>
        <w:i w:val="0"/>
        <w:color w:val="5B6175"/>
        <w:sz w:val="18"/>
      </w:rPr>
      <w:t xml:space="preserve"> из </w:t>
    </w:r>
    <w:r>
      <w:fldChar w:fldCharType="begin"/>
    </w:r>
    <w:r>
      <w:instrText xml:space="preserve">NUMPAGES</w:instrText>
    </w:r>
    <w:r>
      <w:fldChar w:fldCharType="separate"/>
    </w:r>
    <w:r>
      <w:rPr>
        <w:rFonts w:ascii="Times New Roman" w:hAnsi="Times New Roman" w:cs="Times New Roman"/>
        <w:b w:val="0"/>
        <w:i w:val="0"/>
        <w:color w:val="5B6175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cs="Times New Roman"/>
        <w:b w:val="0"/>
        <w:i/>
        <w:color w:val="5B6175"/>
        <w:sz w:val="18"/>
      </w:rPr>
      <w:t>«Бюро пропусков» — техническая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cs="Times New Roman" w:eastAsia="Times New Roman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