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32"/>
        </w:rPr>
        <w:t>Доклад к предзащите</w:t>
      </w:r>
    </w:p>
    <w:p>
      <w:pPr>
        <w:ind w:firstLine="0"/>
        <w:jc w:val="both"/>
      </w:pPr>
      <w:r>
        <w:rPr>
          <w:rFonts w:ascii="Times New Roman" w:hAnsi="Times New Roman"/>
          <w:b/>
          <w:sz w:val="28"/>
        </w:rPr>
        <w:t xml:space="preserve">Автор: </w:t>
      </w:r>
      <w:r>
        <w:rPr>
          <w:rFonts w:ascii="Times New Roman" w:hAnsi="Times New Roman"/>
          <w:sz w:val="28"/>
        </w:rPr>
        <w:t>Мякотных Сергей Михайлович, группа ЭФБО-02-22</w:t>
      </w:r>
    </w:p>
    <w:p>
      <w:pPr>
        <w:ind w:firstLine="0"/>
        <w:jc w:val="both"/>
      </w:pPr>
      <w:r>
        <w:rPr>
          <w:rFonts w:ascii="Times New Roman" w:hAnsi="Times New Roman"/>
          <w:b/>
          <w:sz w:val="28"/>
        </w:rPr>
        <w:t xml:space="preserve">Руководитель: </w:t>
      </w:r>
      <w:r>
        <w:rPr>
          <w:rFonts w:ascii="Times New Roman" w:hAnsi="Times New Roman"/>
          <w:sz w:val="28"/>
        </w:rPr>
        <w:t>Громов Евгений Владимирович</w:t>
      </w:r>
    </w:p>
    <w:p>
      <w:pPr>
        <w:ind w:firstLine="0"/>
        <w:jc w:val="both"/>
      </w:pPr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sz w:val="28"/>
        </w:rPr>
        <w:t>Система автоматизированного анализа документов на основе стартапа Dockee для выявления рисков и признаков мошенничества</w:t>
      </w:r>
    </w:p>
    <w:p>
      <w:pPr>
        <w:ind w:firstLine="0"/>
        <w:jc w:val="both"/>
      </w:pPr>
      <w:r>
        <w:rPr>
          <w:rFonts w:ascii="Times New Roman" w:hAnsi="Times New Roman"/>
          <w:b/>
          <w:sz w:val="28"/>
        </w:rPr>
        <w:t xml:space="preserve">Ориентировочный объём: </w:t>
      </w:r>
      <w:r>
        <w:rPr>
          <w:rFonts w:ascii="Times New Roman" w:hAnsi="Times New Roman"/>
          <w:sz w:val="28"/>
        </w:rPr>
        <w:t>673 слова, темп 140-150 слов/мин. Расчётное время 4:30-4:50. Запас 10-30 секунд.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1 — Титульный (≈15 с)</w:t>
      </w:r>
    </w:p>
    <w:p>
      <w:pPr>
        <w:jc w:val="both"/>
      </w:pPr>
      <w:r>
        <w:rPr>
          <w:rFonts w:ascii="Times New Roman" w:hAnsi="Times New Roman"/>
          <w:sz w:val="28"/>
        </w:rPr>
        <w:t>Уважаемый председатель, уважаемые члены комиссии. Вашему вниманию представляется выпускная квалификационная работа на тему «Система автоматизированного анализа документов на основе стартапа Dockee для выявления рисков и признаков мошенничества». Выполнил Мякотных Сергей, группа ЭФБО-02-22. Научный руководитель — Громов Евгений Владимирович.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2 — Актуальность (≈20 с)</w:t>
      </w:r>
    </w:p>
    <w:p>
      <w:pPr>
        <w:jc w:val="both"/>
      </w:pPr>
      <w:r>
        <w:rPr>
          <w:rFonts w:ascii="Times New Roman" w:hAnsi="Times New Roman"/>
          <w:sz w:val="28"/>
        </w:rPr>
        <w:t>Ручная проверка одного договора занимает от сорока минут до нескольких часов. Искусственный интеллект справляется за секунды, однако без удобного интерфейса результат анализа теряет ценность: пользователь просто не понимает, почему конкретный пункт помечен как рискованный. По данным Nielsen Norman Group, 88% пользователей не возвращаются после неудачного первого опыта. Для юридического сервиса цена неудобного интерфейса измеряется не раздражением, а упущенными рисками.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3 — Объект, предмет, цель и задачи (≈25 с)</w:t>
      </w:r>
    </w:p>
    <w:p>
      <w:pPr>
        <w:jc w:val="both"/>
      </w:pPr>
      <w:r>
        <w:rPr>
          <w:rFonts w:ascii="Times New Roman" w:hAnsi="Times New Roman"/>
          <w:sz w:val="28"/>
        </w:rPr>
        <w:t>Объект исследования — процесс автоматизированного анализа документов. Предмет — пользовательский интерфейс для работы с документами и результатами анализа. Цель работы — разработка системы, выявляющей юридические и финансовые риски с помощью интегрированного ИИ-агента и средств защиты конфиденциальной информации. Для её достижения поставлено восемь задач: от анализа предметной области и проектирования архитектуры до реализации интерфейса, оценки результатов и подготовки документации.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4 — Анализ рынка и существующих решений (≈25 с)</w:t>
      </w:r>
    </w:p>
    <w:p>
      <w:pPr>
        <w:jc w:val="both"/>
      </w:pPr>
      <w:r>
        <w:rPr>
          <w:rFonts w:ascii="Times New Roman" w:hAnsi="Times New Roman"/>
          <w:sz w:val="28"/>
        </w:rPr>
        <w:t>Рынок LegalTech к 2025 году достиг 32 миллиардов долларов, сегмент Legal AI растёт на 10,7% в год. Рассмотрены три отечественных решения. Яндекс Нейроюрист работает как чат-бот без привязки к документу. Embedika подсвечивает риски, но лишён чата. Noroots генерирует отчёт без интерактивной работы с текстом. Ни один конкурент не объединяет подсветку, чат, заметки и навигацию в одном интерфейсе — именно этот разрыв определяет актуальность работы.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5 — Методы визуализации (≈15 с)</w:t>
      </w:r>
    </w:p>
    <w:p>
      <w:pPr>
        <w:jc w:val="both"/>
      </w:pPr>
      <w:r>
        <w:rPr>
          <w:rFonts w:ascii="Times New Roman" w:hAnsi="Times New Roman"/>
          <w:sz w:val="28"/>
        </w:rPr>
        <w:t>Исследовано пять подходов: структурированный ответ ИИ в чате, цветовая подсветка рисков прямо в тексте, сводная панель инспектора, рекомендации по исправлению и цветные метки на полосе прокрутки — по аналогии с тем, как IDE подсвечивает ошибки в коде.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6 — Взаимодействие с ИИ (≈15 с)</w:t>
      </w:r>
    </w:p>
    <w:p>
      <w:pPr>
        <w:jc w:val="both"/>
      </w:pPr>
      <w:r>
        <w:rPr>
          <w:rFonts w:ascii="Times New Roman" w:hAnsi="Times New Roman"/>
          <w:sz w:val="28"/>
        </w:rPr>
        <w:t>Для взаимодействия с ИИ-агентом предусмотрено три канала: контекстные вопросы по выделенному фрагменту, свободные вопросы по всему документу и система заметок — привязанных к риску и общих. Интерфейс поддерживает все три стратегии работы юриста.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7 — Принципы проектирования (≈10 с)</w:t>
      </w:r>
    </w:p>
    <w:p>
      <w:pPr>
        <w:jc w:val="both"/>
      </w:pPr>
      <w:r>
        <w:rPr>
          <w:rFonts w:ascii="Times New Roman" w:hAnsi="Times New Roman"/>
          <w:sz w:val="28"/>
        </w:rPr>
        <w:t>Проектирование опирается на User-Centered Design по ISO 9241-210, десять эвристик Нильсена, гештальт-принципы, законы Фиттса и Хика, требования WCAG 2.1 уровня AA.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8 — Требования к UI (≈10 с)</w:t>
      </w:r>
    </w:p>
    <w:p>
      <w:pPr>
        <w:jc w:val="both"/>
      </w:pPr>
      <w:r>
        <w:rPr>
          <w:rFonts w:ascii="Times New Roman" w:hAnsi="Times New Roman"/>
          <w:sz w:val="28"/>
        </w:rPr>
        <w:t>Сформулировано 33 функциональных и 26 нефункциональных требований. Ключевые: время отклика — менее 200 миллисекунд, анализ до 30 страниц — менее 30 секунд, Core Web Vitals в зелёной зоне.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9 — User stories (≈5 с)</w:t>
      </w:r>
    </w:p>
    <w:p>
      <w:pPr>
        <w:jc w:val="both"/>
      </w:pPr>
      <w:r>
        <w:rPr>
          <w:rFonts w:ascii="Times New Roman" w:hAnsi="Times New Roman"/>
          <w:sz w:val="28"/>
        </w:rPr>
        <w:t>Описаны пользовательские истории для двух сегментов: профессиональных юристов и предпринимателей без штатного юриста.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10 — Use case (≈10 с)</w:t>
      </w:r>
    </w:p>
    <w:p>
      <w:pPr>
        <w:jc w:val="both"/>
      </w:pPr>
      <w:r>
        <w:rPr>
          <w:rFonts w:ascii="Times New Roman" w:hAnsi="Times New Roman"/>
          <w:sz w:val="28"/>
        </w:rPr>
        <w:t>Построены три диаграммы прецедентов: загрузка и анализ документа, взаимодействие с ИИ-агентом, управление документами. DeepSeek API выступает внешним актором.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11 — User flow (≈10 с)</w:t>
      </w:r>
    </w:p>
    <w:p>
      <w:pPr>
        <w:jc w:val="both"/>
      </w:pPr>
      <w:r>
        <w:rPr>
          <w:rFonts w:ascii="Times New Roman" w:hAnsi="Times New Roman"/>
          <w:sz w:val="28"/>
        </w:rPr>
        <w:t>На диаграмме активности с четырьмя дорожками показан процесс между пользователем, фронтендом, бэкендом и DeepSeek API, с обработкой двух сценариев ошибок.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12 — Структура интерфейса (≈15 с)</w:t>
      </w:r>
    </w:p>
    <w:p>
      <w:pPr>
        <w:jc w:val="both"/>
      </w:pPr>
      <w:r>
        <w:rPr>
          <w:rFonts w:ascii="Times New Roman" w:hAnsi="Times New Roman"/>
          <w:sz w:val="28"/>
        </w:rPr>
        <w:t>Сервис включает пять основных экранов и три вспомогательных, глубина навигации не превышает двух кликов. Рабочий экран разделён на три зоны: текст документа, панель рисков и выдвигающийся чат.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13 — Безопасность и производительность (≈20 с)</w:t>
      </w:r>
    </w:p>
    <w:p>
      <w:pPr>
        <w:jc w:val="both"/>
      </w:pPr>
      <w:r>
        <w:rPr>
          <w:rFonts w:ascii="Times New Roman" w:hAnsi="Times New Roman"/>
          <w:sz w:val="28"/>
        </w:rPr>
        <w:t>Учтены угрозы из OWASP Top 10: XSS, CSRF, clickjacking. Access-токен хранится в памяти, refresh — в HttpOnly-cookie с флагом SameSite=Strict. Настроена Content Security Policy с запретом inline-скриптов. Ленивая загрузка маршрутов сокращает начальный бандл на 40-45%.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Слайды 14-17 — Вайрфреймы и дизайн-макеты (≈20 с)</w:t>
      </w:r>
    </w:p>
    <w:p>
      <w:pPr>
        <w:jc w:val="both"/>
      </w:pPr>
      <w:r>
        <w:rPr>
          <w:rFonts w:ascii="Times New Roman" w:hAnsi="Times New Roman"/>
          <w:sz w:val="28"/>
        </w:rPr>
        <w:t>В Figma разработаны вайрфреймы и дизайн-макеты лендинга и основных экранов. Основной цвет — синий 6C67FD, функциональные красный, жёлтый и зелёный намеренно разведены с навигацией, чтобы не возникало путаницы между сигналами. Шрифт — Montserrat, сетка отступов кратна восьми пикселям. Прототип проверен на разрешениях от 375 до 1920 пикселей.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Слайды 18-19 — Выбор технологий (≈20 с)</w:t>
      </w:r>
    </w:p>
    <w:p>
      <w:pPr>
        <w:jc w:val="both"/>
      </w:pPr>
      <w:r>
        <w:rPr>
          <w:rFonts w:ascii="Times New Roman" w:hAnsi="Times New Roman"/>
          <w:sz w:val="28"/>
        </w:rPr>
        <w:t>Сопоставлены React, Angular и Vue по восьми критериям. Выбран Vue 3: бандл 33 килобайта против 42 у React и 130 у Angular, низкий порог входа, Composition API. В стек вошли Vite, Pinia, Vue Router, методология БЭМ, а для работы с документами — vue-pdf, mammoth.js, PDF-lib и ExcelJS.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20 — Разработка интерфейса (≈20 с)</w:t>
      </w:r>
    </w:p>
    <w:p>
      <w:pPr>
        <w:jc w:val="both"/>
      </w:pPr>
      <w:r>
        <w:rPr>
          <w:rFonts w:ascii="Times New Roman" w:hAnsi="Times New Roman"/>
          <w:sz w:val="28"/>
        </w:rPr>
        <w:t>Лендинг свёрстан как одностраничный сайт из восьми Vue-компонентов с адаптивностью под три разрешения. Основной сервис — четыре экрана: «Главная» с просмотрщиком, подсветкой рисков и двунаправленной навигацией между текстом и панелью инспектора; «Документы» с поиском и папками; «Аналитика» с экспортом в Excel; «Аккаунт». Интеграция с бэкендом на Go выполнена через REST API с JWT-аутентификацией.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21 — Заключение и выводы (≈25 с)</w:t>
      </w:r>
    </w:p>
    <w:p>
      <w:pPr>
        <w:jc w:val="both"/>
      </w:pPr>
      <w:r>
        <w:rPr>
          <w:rFonts w:ascii="Times New Roman" w:hAnsi="Times New Roman"/>
          <w:sz w:val="28"/>
        </w:rPr>
        <w:t>Все функциональные требования реализованы. Время отклика составило 50-120 миллисекунд при пороге 200. Анализ договора на 15 страниц занимает 12 секунд, на 40 страниц — 22 секунды. Обратная связь от пяти пользователей привела к двум улучшениям: фильтрации рисков по типу и текстовым меткам к цветовым маркерам. Среднее время полного сценария — 3 минуты 45 секунд при целевом показателе 5 минут. Цель работы достигнута.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Слайд 22 — Спасибо за внимание (≈5 с)</w:t>
      </w:r>
    </w:p>
    <w:p>
      <w:pPr>
        <w:jc w:val="both"/>
      </w:pPr>
      <w:r>
        <w:rPr>
          <w:rFonts w:ascii="Times New Roman" w:hAnsi="Times New Roman"/>
          <w:sz w:val="28"/>
        </w:rPr>
        <w:t>Доклад окончен. Благодарю за внимание и готов ответить на ваши вопросы.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Советы по выступлению</w:t>
      </w:r>
    </w:p>
    <w:p>
      <w:pPr>
        <w:pStyle w:val="ListBullet"/>
        <w:ind w:firstLine="0"/>
        <w:jc w:val="both"/>
      </w:pPr>
      <w:r>
        <w:rPr>
          <w:rFonts w:ascii="Times New Roman" w:hAnsi="Times New Roman"/>
          <w:sz w:val="28"/>
        </w:rPr>
        <w:t>Репетировать с секундомером. Темп 140-150 слов/мин — отчётливое, но не торопливое чтение.</w:t>
      </w:r>
    </w:p>
    <w:p>
      <w:pPr>
        <w:pStyle w:val="ListBullet"/>
        <w:ind w:firstLine="0"/>
        <w:jc w:val="both"/>
      </w:pPr>
      <w:r>
        <w:rPr>
          <w:rFonts w:ascii="Times New Roman" w:hAnsi="Times New Roman"/>
          <w:sz w:val="28"/>
        </w:rPr>
        <w:t>Слайды 9 и 11 короткие, можно выдержать паузу и дать комиссии взглянуть на диаграммы.</w:t>
      </w:r>
    </w:p>
    <w:p>
      <w:pPr>
        <w:pStyle w:val="ListBullet"/>
        <w:ind w:firstLine="0"/>
        <w:jc w:val="both"/>
      </w:pPr>
      <w:r>
        <w:rPr>
          <w:rFonts w:ascii="Times New Roman" w:hAnsi="Times New Roman"/>
          <w:sz w:val="28"/>
        </w:rPr>
        <w:t>При нехватке времени сокращать слайды 5, 6 (перечисления методов) — они самодостаточны визуально.</w:t>
      </w:r>
    </w:p>
    <w:p>
      <w:pPr>
        <w:pStyle w:val="ListBullet"/>
        <w:ind w:firstLine="0"/>
        <w:jc w:val="both"/>
      </w:pPr>
      <w:r>
        <w:rPr>
          <w:rFonts w:ascii="Times New Roman" w:hAnsi="Times New Roman"/>
          <w:sz w:val="28"/>
        </w:rPr>
        <w:t>При избытке времени расширить слайд 21: добавить одну-две фразы о перспективах (коллаборативный режим, расширение форматов).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