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1.46</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86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92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98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107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108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333"/>
        <w:gridCol w:w="6023"/>
      </w:tblGrid>
      <w:tr>
        <w:trPr>
          <w:tblHeader w:val="true"/>
          <w:cantSplit w:val="true"/>
        </w:trPr>
        <w:tc>
          <w:tcPr>
            <w:tcW w:type="dxa" w:w="3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332"/>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0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 площадке без доступа в сеть общего пользования код передан архивом, и вместо получения из репозитория он распаковывается в тот же каталог.</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Параметры почты не входят в набор, передаваемый в прикладной сервер через файл параметров, см. подраздел 6.1. Запись их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сама по себе ничего не включает: значения не дойдут до прикладного сервера, и почта останется выключенной. Параметры добавляют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файла </w:t>
            </w:r>
            <w:r>
              <w:rPr>
                <w:rFonts w:ascii="Courier New" w:hAnsi="Courier New" w:cs="Courier New" w:eastAsia="Courier New"/>
                <w:b w:val="0"/>
                <w:i w:val="0"/>
                <w:color w:val="000000"/>
                <w:sz w:val="22"/>
              </w:rPr>
              <w:t>docker-compose.prod.yml</w:t>
            </w:r>
            <w:r>
              <w:rPr>
                <w:rFonts w:ascii="Times New Roman" w:hAnsi="Times New Roman" w:cs="Times New Roman" w:eastAsia="Times New Roman"/>
                <w:b w:val="0"/>
                <w:i w:val="0"/>
                <w:color w:val="000000"/>
                <w:sz w:val="26"/>
              </w:rPr>
              <w:t>, после чего перезапускают систему.</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Передача параметров почты прикладному серверу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SMTP_HOST: "${SMTP_HOST}"</w:t>
      </w:r>
      <w:r>
        <w:br/>
      </w:r>
      <w:r>
        <w:rPr>
          <w:rFonts w:ascii="Courier New" w:hAnsi="Courier New" w:cs="Courier New" w:eastAsia="Courier New"/>
          <w:b w:val="0"/>
          <w:i w:val="0"/>
          <w:color w:val="000000"/>
          <w:sz w:val="20"/>
        </w:rPr>
        <w:t xml:space="preserve">      SMTP_PORT: "${SMTP_PORT}"</w:t>
      </w:r>
      <w:r>
        <w:br/>
      </w:r>
      <w:r>
        <w:rPr>
          <w:rFonts w:ascii="Courier New" w:hAnsi="Courier New" w:cs="Courier New" w:eastAsia="Courier New"/>
          <w:b w:val="0"/>
          <w:i w:val="0"/>
          <w:color w:val="000000"/>
          <w:sz w:val="20"/>
        </w:rPr>
        <w:t xml:space="preserve">      SMTP_USERNAME: "${SMTP_USERNAME}"</w:t>
      </w:r>
      <w:r>
        <w:br/>
      </w:r>
      <w:r>
        <w:rPr>
          <w:rFonts w:ascii="Courier New" w:hAnsi="Courier New" w:cs="Courier New" w:eastAsia="Courier New"/>
          <w:b w:val="0"/>
          <w:i w:val="0"/>
          <w:color w:val="000000"/>
          <w:sz w:val="20"/>
        </w:rPr>
        <w:t xml:space="preserve">      SMTP_PASSWORD: "${SMTP_PASSWORD}"</w:t>
      </w:r>
      <w:r>
        <w:br/>
      </w:r>
      <w:r>
        <w:rPr>
          <w:rFonts w:ascii="Courier New" w:hAnsi="Courier New" w:cs="Courier New" w:eastAsia="Courier New"/>
          <w:b w:val="0"/>
          <w:i w:val="0"/>
          <w:color w:val="000000"/>
          <w:sz w:val="20"/>
        </w:rPr>
        <w:t xml:space="preserve">      SMTP_FROM: "${SMTP_FROM}"</w:t>
      </w:r>
      <w:r>
        <w:br/>
      </w:r>
      <w:r>
        <w:rPr>
          <w:rFonts w:ascii="Courier New" w:hAnsi="Courier New" w:cs="Courier New" w:eastAsia="Courier New"/>
          <w:b w:val="0"/>
          <w:i w:val="0"/>
          <w:color w:val="000000"/>
          <w:sz w:val="20"/>
        </w:rPr>
        <w:t xml:space="preserve">      SMTP_FROM_NAME: "${SMTP_FROM_NAME}"</w:t>
      </w:r>
      <w:r>
        <w:br/>
      </w:r>
      <w:r>
        <w:rPr>
          <w:rFonts w:ascii="Courier New" w:hAnsi="Courier New" w:cs="Courier New" w:eastAsia="Courier New"/>
          <w:b w:val="0"/>
          <w:i w:val="0"/>
          <w:color w:val="000000"/>
          <w:sz w:val="20"/>
        </w:rPr>
        <w:t xml:space="preserve">      SMTP_TLS_MODE: "${SMTP_TLS_MODE}"</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5"/>
        <w:gridCol w:w="5100"/>
      </w:tblGrid>
      <w:tr>
        <w:trPr>
          <w:tblHeader w:val="true"/>
          <w:cantSplit w:val="true"/>
        </w:trPr>
        <w:tc>
          <w:tcPr>
            <w:tcW w:type="dxa" w:w="42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5"/>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421"/>
        <w:gridCol w:w="136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3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3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420"/>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3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