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1.41</w:t>
      </w:r>
    </w:p>
    <w:p>
      <w:pPr>
        <w:ind w:firstLine="0"/>
        <w:jc w:val="center"/>
      </w:pPr>
      <w:r>
        <w:rPr>
          <w:rFonts w:ascii="Times New Roman" w:hAnsi="Times New Roman" w:cs="Times New Roman" w:eastAsia="Times New Roman"/>
          <w:b w:val="0"/>
          <w:i w:val="0"/>
          <w:color w:val="000000"/>
          <w:sz w:val="26"/>
        </w:rPr>
        <w:t>Дата: 10.08.2026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воспроизведения решения. </w:t>
      </w:r>
      <w:r>
        <w:rPr>
          <w:rFonts w:ascii="Times New Roman" w:hAnsi="Times New Roman" w:cs="Times New Roman" w:eastAsia="Times New Roman"/>
          <w:b w:val="0"/>
          <w:i w:val="0"/>
          <w:color w:val="000000"/>
          <w:sz w:val="24"/>
        </w:rPr>
        <w:t>Сведения об устройстве системы, составе её частей, программном интерфейсе, организации данных, порядке развёртывания и настройки не могут использоваться для самостоятельной разработки, для заказа у третьих лиц или для доработки системы того же назначения, а равно для подготовки технического задания на такую разработку.</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Конфиденциально. Передача третьим лицам запрещена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