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1.66</w:t>
      </w:r>
    </w:p>
    <w:p>
      <w:pPr>
        <w:ind w:firstLine="0"/>
        <w:jc w:val="center"/>
      </w:pPr>
      <w:r>
        <w:rPr>
          <w:rFonts w:ascii="Times New Roman" w:hAnsi="Times New Roman" w:cs="Times New Roman" w:eastAsia="Times New Roman"/>
          <w:b w:val="0"/>
          <w:i w:val="0"/>
          <w:color w:val="000000"/>
          <w:sz w:val="26"/>
        </w:rPr>
        <w:t>Дата: 14.08.2026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226"/>
        <w:gridCol w:w="6129"/>
      </w:tblGrid>
      <w:tr>
        <w:trPr>
          <w:tblHeader w:val="true"/>
          <w:cantSplit w:val="true"/>
        </w:trPr>
        <w:tc>
          <w:tcPr>
            <w:tcW w:type="dxa" w:w="32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1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709"/>
        <w:gridCol w:w="7371"/>
        <w:gridCol w:w="1276"/>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2б</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11а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 (для сервера за прокси поставщика - подраздел 7.6)</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ящику разрешена отправка через SMTP, проверочное письмо отправлено и получено во входящих; записи SPF и DKIM домена отправителя внесены</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Работа с системой ведётся под отдельной учётной записью: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поставлена на расписание, учётная запись для неё заведена, письмо об отказе получено при пробном запуске</w:t>
            </w:r>
          </w:p>
        </w:tc>
        <w:tc>
          <w:tcPr>
            <w:tcW w:type="dxa" w:w="1276"/>
          </w:tcPr>
          <w:p>
            <w:pPr>
              <w:spacing w:line="240" w:lineRule="auto" w:after="0"/>
              <w:ind w:firstLine="0"/>
              <w:jc w:val="left"/>
            </w:pP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xml:space="preserve"> показывает «Выгрузка бланков включена» (после установки она выключена, подраздел 9.6)</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