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1.56</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Почтовые уведомления</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Работа с данными одной организации</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103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143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6.6.</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226"/>
        <w:gridCol w:w="6129"/>
      </w:tblGrid>
      <w:tr>
        <w:trPr>
          <w:tblHeader w:val="true"/>
          <w:cantSplit w:val="true"/>
        </w:trPr>
        <w:tc>
          <w:tcPr>
            <w:tcW w:type="dxa" w:w="32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1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r>
        <w:br/>
      </w:r>
      <w:r>
        <w:rPr>
          <w:rFonts w:ascii="Courier New" w:hAnsi="Courier New" w:cs="Courier New" w:eastAsia="Courier New"/>
          <w:b w:val="0"/>
          <w:i w:val="0"/>
          <w:color w:val="000000"/>
          <w:sz w:val="20"/>
        </w:rPr>
        <w:t xml:space="preserve">    ├── health-check.sh         проверка живости с оповещением на почту</w:t>
      </w:r>
      <w:r>
        <w:br/>
      </w:r>
      <w:r>
        <w:rPr>
          <w:rFonts w:ascii="Courier New" w:hAnsi="Courier New" w:cs="Courier New" w:eastAsia="Courier New"/>
          <w:b w:val="0"/>
          <w:i w:val="0"/>
          <w:color w:val="000000"/>
          <w:sz w:val="20"/>
        </w:rPr>
        <w:t xml:space="preserve">    ├── health-install.sh       постановка проверки живости на расписание</w:t>
      </w:r>
      <w:r>
        <w:br/>
      </w:r>
      <w:r>
        <w:rPr>
          <w:rFonts w:ascii="Courier New" w:hAnsi="Courier New" w:cs="Courier New" w:eastAsia="Courier New"/>
          <w:b w:val="0"/>
          <w:i w:val="0"/>
          <w:color w:val="000000"/>
          <w:sz w:val="20"/>
        </w:rPr>
        <w:t xml:space="preserve">    └── package.sh              сборка архива поставки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Так же связаны два сценария проверки живости, подраздел 12.2.</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2263"/>
        <w:gridCol w:w="7093"/>
      </w:tblGrid>
      <w:tr>
        <w:trPr>
          <w:tblHeader w:val="true"/>
          <w:cantSplit w:val="true"/>
        </w:trPr>
        <w:tc>
          <w:tcPr>
            <w:tcW w:type="dxa" w:w="22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092"/>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092"/>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092"/>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092"/>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092"/>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092"/>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092"/>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092"/>
          </w:tcPr>
          <w:p>
            <w:pPr>
              <w:spacing w:line="240" w:lineRule="auto" w:after="0"/>
              <w:ind w:firstLine="0"/>
              <w:jc w:val="left"/>
            </w:pP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отдельным блоком под заголовком о том, что до контейнера они пока не доходят. Значения в этом блоке совпадают со встроенными, то есть система работает ровно так, как там написано, но правка строки ничего не изменит, пока параметр не добавлен в описание.</w:t>
      </w:r>
    </w:p>
    <w:p>
      <w:r>
        <w:rPr>
          <w:rFonts w:ascii="Times New Roman" w:hAnsi="Times New Roman" w:cs="Times New Roman" w:eastAsia="Times New Roman"/>
          <w:b w:val="0"/>
          <w:i w:val="0"/>
          <w:color w:val="000000"/>
          <w:sz w:val="28"/>
        </w:rPr>
        <w:t xml:space="preserve">Чтобы изменить такой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Девять параметров этого подраздела в контейнер через файл параметров не передаются, как и параметры из последнего абзаца подраздела 6.1. Сценарий подготовки параметров их не записывает, и вписанная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строка ничего не изменит. Система работает на значениях из таблиц выше; чтобы задать своё, добавьте параметр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файла </w:t>
            </w:r>
            <w:r>
              <w:rPr>
                <w:rFonts w:ascii="Courier New" w:hAnsi="Courier New" w:cs="Courier New" w:eastAsia="Courier New"/>
                <w:b w:val="0"/>
                <w:i w:val="0"/>
                <w:color w:val="000000"/>
                <w:sz w:val="22"/>
              </w:rPr>
              <w:t>docker-compose.prod.yml</w:t>
            </w:r>
            <w:r>
              <w:rPr>
                <w:rFonts w:ascii="Times New Roman" w:hAnsi="Times New Roman" w:cs="Times New Roman" w:eastAsia="Times New Roman"/>
                <w:b w:val="0"/>
                <w:i w:val="0"/>
                <w:color w:val="000000"/>
                <w:sz w:val="26"/>
              </w:rPr>
              <w:t xml:space="preserve"> и перезапустите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6.6.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835"/>
        <w:gridCol w:w="6521"/>
      </w:tblGrid>
      <w:tr>
        <w:trPr>
          <w:tblHeader w:val="true"/>
          <w:cantSplit w:val="true"/>
        </w:trPr>
        <w:tc>
          <w:tcPr>
            <w:tcW w:type="dxa" w:w="28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спрашивает только в режиме применения: предварительный показ ничего не удаляет, а вопрос на безопасном вызове приучал бы отвечать не глядя.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6.6.</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Работа с данными одной организации</w:t>
      </w:r>
    </w:p>
    <w:p>
      <w:r>
        <w:rPr>
          <w:rFonts w:ascii="Times New Roman" w:hAnsi="Times New Roman" w:cs="Times New Roman" w:eastAsia="Times New Roman"/>
          <w:b w:val="0"/>
          <w:i w:val="0"/>
          <w:color w:val="000000"/>
          <w:sz w:val="28"/>
        </w:rPr>
        <w:t xml:space="preserve">Организация, уходящая с предприятия, оставляет после себя заявки, работников, машины и историю проходов. Команда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умеет забрать эти данные пакетом, погасить организацию и, если так решено, стереть персональные сведения.</w:t>
      </w:r>
    </w:p>
    <w:p>
      <w:r>
        <w:rPr>
          <w:rFonts w:ascii="Times New Roman" w:hAnsi="Times New Roman" w:cs="Times New Roman" w:eastAsia="Times New Roman"/>
          <w:b w:val="0"/>
          <w:i w:val="0"/>
          <w:color w:val="000000"/>
          <w:sz w:val="28"/>
        </w:rPr>
        <w:t xml:space="preserve">Все действия по умолчанию только показывают, что произойдёт. Изменение выполняется, лишь когда добавлен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Действия команды `entity`</w:t>
      </w:r>
    </w:p>
    <w:tbl>
      <w:tblPr>
        <w:tblStyle w:val="TableGrid"/>
        <w:tblW w:type="auto" w:w="0"/>
        <w:jc w:val="center"/>
        <w:tblLayout w:type="fixed"/>
        <w:tblLook w:firstColumn="1" w:firstRow="1" w:lastColumn="0" w:lastRow="0" w:noHBand="0" w:noVBand="1" w:val="04A0"/>
        <w:tblLayout w:type="fixed"/>
      </w:tblPr>
      <w:tblGrid>
        <w:gridCol w:w="1610"/>
        <w:gridCol w:w="7745"/>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7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Показывает связанные данные организации: сколько работников, заявок, машин и записей истории к ней относится</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Снимает пакет с этими данными. Пакет шифруется теми же ключами, что и резервные копии</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Проверяет снятый пакет: целостность и соответствие организации</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Разворачивает пакет на другом стенде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Гасит организацию и её работников: вход закрывается, данные остаются</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Отменяет последнее гашение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Необратимо затирает персональные поля, оставляя обезличенные записи</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Сносит данные по ранее снятому пакету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Просмотр связанных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перечень связанных записей по видам с их числом. Ничего не изменяется.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Снятие пакета и гашение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Ожидаемый результат: путь к каталогу пакета, затем сообщение о том, сколько учётных записей закрыто. Справка по всем действиям и ключам - </w:t>
      </w:r>
      <w:r>
        <w:rPr>
          <w:rFonts w:ascii="Courier New" w:hAnsi="Courier New" w:cs="Courier New" w:eastAsia="Courier New"/>
          <w:b w:val="0"/>
          <w:i w:val="0"/>
          <w:color w:val="000000"/>
          <w:sz w:val="24"/>
        </w:rPr>
        <w:t>make deploy-entity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необратимы. Обезличенные поля не восстанавливаются ничем, кроме ранее снятого пакета, 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сносит данные по этому пакету целиком. Порядок безопасной работы: сначала </w:t>
            </w:r>
            <w:r>
              <w:rPr>
                <w:rFonts w:ascii="Courier New" w:hAnsi="Courier New" w:cs="Courier New" w:eastAsia="Courier New"/>
                <w:b w:val="0"/>
                <w:i w:val="0"/>
                <w:color w:val="000000"/>
                <w:sz w:val="22"/>
              </w:rPr>
              <w:t>export</w:t>
            </w:r>
            <w:r>
              <w:rPr>
                <w:rFonts w:ascii="Times New Roman" w:hAnsi="Times New Roman" w:cs="Times New Roman" w:eastAsia="Times New Roman"/>
                <w:b w:val="0"/>
                <w:i w:val="0"/>
                <w:color w:val="000000"/>
                <w:sz w:val="26"/>
              </w:rPr>
              <w:t xml:space="preserve">, затем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снятого пакета, и только потом разрушающее действие.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6.6.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6.6.</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6.6.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6.6</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6.6</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513"/>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проверочное письмо отправлено и получено во входящих; записи SPF и DKIM домена отправителя внесены</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 xml:space="preserve">Работа с системой ведётся под отдельной учётной записью: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поставлена на расписание, учётная запись для неё заведена, письмо об отказе получено при пробном запуске</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