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1.0</w:t>
      </w:r>
    </w:p>
    <w:p>
      <w:pPr>
        <w:ind w:firstLine="0"/>
        <w:jc w:val="center"/>
      </w:pPr>
      <w:r>
        <w:rPr>
          <w:rFonts w:ascii="Times New Roman" w:hAnsi="Times New Roman" w:cs="Times New Roman" w:eastAsia="Times New Roman"/>
          <w:b w:val="0"/>
          <w:i w:val="0"/>
          <w:color w:val="000000"/>
          <w:sz w:val="26"/>
        </w:rPr>
        <w:t>Дата: 28.07.2026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24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Сохраните выведенные значения в хранилище секретов организации до закрытия сессии. Повторно они нигде не отображаются, а восстановить их из файла паролей невозможно: там хранятся необратимые свёртки, а не сами пароли.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заполняет обязательные справочники: типы работников и разделы встроенного руководства.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 отличается от предыдущего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w:t>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./scripts/init-tls.sh self &lt;адрес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получают уведомление о недоступности системы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 xml:space="preserve">Ожидаемый результат: файл создан, размер отличен от нуля. Формат выгрузки сжатый, восстановление выполняется командой </w:t>
      </w:r>
      <w:r>
        <w:rPr>
          <w:rFonts w:ascii="Courier New" w:hAnsi="Courier New" w:cs="Courier New" w:eastAsia="Courier New"/>
          <w:b w:val="0"/>
          <w:i w:val="0"/>
          <w:color w:val="000000"/>
          <w:sz w:val="24"/>
        </w:rPr>
        <w:t>pg_restore</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"$(basename $PWD)_uploads":/data:ro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 xml:space="preserve">Ожидаемый результат: архив создан. Имя тома состоит из имени каталога системы и слова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если в файле параметров задан </w:t>
      </w:r>
      <w:r>
        <w:rPr>
          <w:rFonts w:ascii="Courier New" w:hAnsi="Courier New" w:cs="Courier New" w:eastAsia="Courier New"/>
          <w:b w:val="0"/>
          <w:i w:val="0"/>
          <w:color w:val="000000"/>
          <w:sz w:val="24"/>
        </w:rPr>
        <w:t>COMPOSE_PROJECT_NAME</w:t>
      </w:r>
      <w:r>
        <w:rPr>
          <w:rFonts w:ascii="Times New Roman" w:hAnsi="Times New Roman" w:cs="Times New Roman" w:eastAsia="Times New Roman"/>
          <w:b w:val="0"/>
          <w:i w:val="0"/>
          <w:color w:val="000000"/>
          <w:sz w:val="28"/>
        </w:rPr>
        <w:t>, используется он.</w:t>
      </w:r>
    </w:p>
    <w:p>
      <w:r>
        <w:rPr>
          <w:rFonts w:ascii="Times New Roman" w:hAnsi="Times New Roman" w:cs="Times New Roman" w:eastAsia="Times New Roman"/>
          <w:b w:val="0"/>
          <w:i w:val="0"/>
          <w:color w:val="000000"/>
          <w:sz w:val="28"/>
        </w:rPr>
        <w:t xml:space="preserve">Скопируйте на новый сервер три файла: выгрузку базы, архив файлов и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Передавайте его защищённым каналом и удаляйте промежуточные копии после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val="0"/>
          <w:i w:val="0"/>
          <w:color w:val="000000"/>
          <w:sz w:val="28"/>
        </w:rPr>
        <w:t xml:space="preserve">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 xml:space="preserve">Ожидаемый результат: восстановление завершается без сообщений об ошибках. Предупреждения о несуществующих объектах при первом восстановлении нормальны: ключ </w:t>
      </w:r>
      <w:r>
        <w:rPr>
          <w:rFonts w:ascii="Courier New" w:hAnsi="Courier New" w:cs="Courier New" w:eastAsia="Courier New"/>
          <w:b w:val="0"/>
          <w:i w:val="0"/>
          <w:color w:val="000000"/>
          <w:sz w:val="24"/>
        </w:rPr>
        <w:t>--if-exists</w:t>
      </w:r>
      <w:r>
        <w:rPr>
          <w:rFonts w:ascii="Times New Roman" w:hAnsi="Times New Roman" w:cs="Times New Roman" w:eastAsia="Times New Roman"/>
          <w:b w:val="0"/>
          <w:i w:val="0"/>
          <w:color w:val="000000"/>
          <w:sz w:val="28"/>
        </w:rPr>
        <w:t xml:space="preserve"> их подавляет не полностью.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volume create "$(basename $PWD)_uploads"</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"$(basename $PWD)_uploads":/data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300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609"/>
        <w:gridCol w:w="2747"/>
      </w:tblGrid>
      <w:tr>
        <w:trPr>
          <w:tblHeader w:val="true"/>
          <w:cantSplit w:val="true"/>
        </w:trPr>
        <w:tc>
          <w:tcPr>
            <w:tcW w:type="dxa" w:w="66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27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608"/>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2746"/>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2584"/>
        <w:gridCol w:w="3937"/>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25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39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2583"/>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2583"/>
          </w:tcPr>
          <w:p>
            <w:pPr>
              <w:keepNext/>
              <w:spacing w:line="240" w:lineRule="auto" w:after="0"/>
              <w:ind w:firstLine="0"/>
              <w:jc w:val="left"/>
            </w:pPr>
          </w:p>
        </w:tc>
        <w:tc>
          <w:tcPr>
            <w:tcW w:type="dxa" w:w="3936"/>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2583"/>
          </w:tcPr>
          <w:p>
            <w:pPr>
              <w:spacing w:line="240" w:lineRule="auto" w:after="0"/>
              <w:ind w:firstLine="0"/>
              <w:jc w:val="left"/>
            </w:pPr>
          </w:p>
        </w:tc>
        <w:tc>
          <w:tcPr>
            <w:tcW w:type="dxa" w:w="393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