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1.62</w:t>
      </w:r>
    </w:p>
    <w:p>
      <w:pPr>
        <w:ind w:firstLine="0"/>
        <w:jc w:val="center"/>
      </w:pPr>
      <w:r>
        <w:rPr>
          <w:rFonts w:ascii="Times New Roman" w:hAnsi="Times New Roman" w:cs="Times New Roman" w:eastAsia="Times New Roman"/>
          <w:b w:val="0"/>
          <w:i w:val="0"/>
          <w:color w:val="000000"/>
          <w:sz w:val="26"/>
        </w:rPr>
        <w:t>Дата: 15.08.2026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59</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56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Пометка действует ровно столько, сколько действует запрет, на который она ссылается: снятая с учёта запись гасит её сама, и заявка согласуется без такого решения.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r>
        <w:rPr>
          <w:rFonts w:ascii="Times New Roman" w:hAnsi="Times New Roman" w:cs="Times New Roman" w:eastAsia="Times New Roman"/>
          <w:b w:val="0"/>
          <w:i w:val="0"/>
          <w:color w:val="000000"/>
          <w:sz w:val="28"/>
        </w:rPr>
        <w:t>Решение по помеченному объекту принимает согласующий заявки либо принимающий - кто первым дошёл до заявки; отменить принятое решение вправе оба. Помимо пропуска, у принимающего есть второй путь: убрать объект из поданной заявки, указав причину. Он предусмотрен для случая, когда пропуск неприемлем: без него помеченный объект держал бы заявку целиком, и единственным выходом был бы отказ по ней. Объект при этом перестаёт действовать и уходит из перечней постов, но остаётся в заявке и в её истории - заявка сохраняется как документ.</w:t>
      </w:r>
    </w:p>
    <w:p>
      <w:r>
        <w:rPr>
          <w:rFonts w:ascii="Times New Roman" w:hAnsi="Times New Roman" w:cs="Times New Roman" w:eastAsia="Times New Roman"/>
          <w:b w:val="0"/>
          <w:i w:val="0"/>
          <w:color w:val="000000"/>
          <w:sz w:val="28"/>
        </w:rPr>
        <w:t>Внесение объекта в чёрный список действует и на уже оформленные данные: совпадающие люди и транспорт перестают действовать и исключаются из перечней постов, а в заявках остаются с отметкой о запрете. Перед внесением система показывает работнику, где объект фигурирует: сколько действующих записей перестанет действовать, из каких перечней постов они уйдут и в каких заявках встречаются. Перечень считается по тем же правилам, по которым выполняется само исключение.</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1.26,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511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2 096 тестов в 372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4 618 тестов в 514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6 902</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04"/>
        <w:gridCol w:w="5451"/>
      </w:tblGrid>
      <w:tr>
        <w:trPr>
          <w:tblHeader w:val="true"/>
          <w:cantSplit w:val="true"/>
        </w:trPr>
        <w:tc>
          <w:tcPr>
            <w:tcW w:type="dxa" w:w="39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479 059 строк в 1 742 файлах</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102 453 строки без тестов: 186 служб, 75 обработчиков, 81 модель данных</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199 296 строк: 39 экранов, 218 элементов</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511 в 39 группах</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6 902</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259</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признак обязательного согласования: источник - отметка в карточке организации или компании, а не выбор заявителя при подаче; работник вне состава организации или компании обязательным согласующим не становится, а расхождение присланного списка со справочником останавливает подачу заявки целиком. Показана разница с обычными получателями, которых лишний человек в списке не останавливает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периодическая задача предупреждения об истечении пропуска: рассылка идёт ежесуточно в 09:00, заявитель предупреждается дважды - за три дня и накануне, а общим сроком заявки считается самая поздняя дата среди её действующих вложений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Версия языка прикладного сервера приведена к используемой - Go 1.26; счётчики тестов, методов и объёма кода пересчитаны по текущему состоянию репозитория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второй путь разбора пометки чёрного списка - исключение объекта из поданной заявки принимающим, - и предпросмотр последствий внесения в чёрный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пометка о сходстве действует ровно столько, сколько действует запрет: снятая запись чёрного списка гасит её сама</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2026-08-15T19:03:05Z</dcterms:created>
  <dcterms:modified xsi:type="dcterms:W3CDTF">2026-08-15T19:03:05Z</dcterms:modified>
  <cp:category>Эксплуатационная документация</cp:category>
</cp:coreProperties>
</file>