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суточный отчёт,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Чаще такая строка до поста и не доходит: при внесении в чёрный список система сама убирает совпадающие записи из таблиц. Предупреждение в карточке остаётся для случаев, когда совпадение неполное - например, в заявке нет отчества, а в запрете оно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 Сведения документов - серия и номер паспорта, номер патента, иное разрешение - показываются в бланке инициатору заявки и тем, кому разрешена их выгрузка; заявки вы не подаёте, поэтому без такого права на их месте стоит прочерк. Сами карточки людей это не затрагивает: там документы открываются по своему праву.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просматриваемом бланке сведения документов видны по праву на их выгрузку, а карточки людей это не затрагивает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сведения документов в бланке видны инициатору заявки и носителям права на выгрузку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2026-08-21T19:11:27Z</dcterms:created>
  <dcterms:modified xsi:type="dcterms:W3CDTF">2026-08-21T19:11:27Z</dcterms:modified>
  <cp:category>Эксплуатационная документация</cp:category>
</cp:coreProperties>
</file>