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1.29</w:t>
      </w:r>
    </w:p>
    <w:p>
      <w:pPr>
        <w:ind w:firstLine="0"/>
        <w:jc w:val="center"/>
      </w:pPr>
      <w:r>
        <w:rPr>
          <w:rFonts w:ascii="Times New Roman" w:hAnsi="Times New Roman" w:cs="Times New Roman" w:eastAsia="Times New Roman"/>
          <w:b w:val="0"/>
          <w:i w:val="0"/>
          <w:color w:val="000000"/>
          <w:sz w:val="26"/>
        </w:rPr>
        <w:t>Дата: 06.08.2026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Обучающий тур</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40</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53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только её автору, и наличие права на чужую заявку не распространяется.</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включаются администратором в настройках; по умолчанию первое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Уведомления о событиях по заявкам, доставляются без обновления страницы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Обучающий тур</w:t>
      </w:r>
    </w:p>
    <w:p>
      <w:r>
        <w:rPr>
          <w:rFonts w:ascii="Times New Roman" w:hAnsi="Times New Roman" w:cs="Times New Roman" w:eastAsia="Times New Roman"/>
          <w:b w:val="0"/>
          <w:i w:val="0"/>
          <w:color w:val="000000"/>
          <w:sz w:val="28"/>
        </w:rPr>
        <w:t>При первом входе запускается пошаговый тур: система последовательно подсвечивает элементы интерфейса и объясняет их назначение. Тур учитывает тип учётной записи: работнику поста показываются шаги про таблицы и отметку въезда и выезда, а не про подачу заявки.</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сбросить отметку о прохождении конкретному работнику, например при переводе на другую должность.</w:t>
      </w:r>
    </w:p>
    <w:p>
      <w:r>
        <w:rPr>
          <w:rFonts w:ascii="Times New Roman" w:hAnsi="Times New Roman" w:cs="Times New Roman" w:eastAsia="Times New Roman"/>
          <w:b w:val="0"/>
          <w:i w:val="0"/>
          <w:color w:val="000000"/>
          <w:sz w:val="28"/>
        </w:rPr>
        <w:t>Тур версионируется: после существенного изменения интерфейса работникам показываются новые шаги, а не пройденный ранее старый вариант.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16"/>
        <w:gridCol w:w="2126"/>
        <w:gridCol w:w="5014"/>
      </w:tblGrid>
      <w:tr>
        <w:trPr>
          <w:tblHeader w:val="true"/>
          <w:cantSplit w:val="true"/>
        </w:trPr>
        <w:tc>
          <w:tcPr>
            <w:tcW w:type="dxa" w:w="22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501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и прочитанные уведомления</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16"/>
        <w:gridCol w:w="2126"/>
        <w:gridCol w:w="5014"/>
      </w:tblGrid>
      <w:tr>
        <w:trPr>
          <w:tblHeader w:val="true"/>
          <w:cantSplit w:val="true"/>
        </w:trPr>
        <w:tc>
          <w:tcPr>
            <w:tcW w:type="dxa" w:w="22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501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99 таблиц: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прочитанные уведомления, сроки задаются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490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Шифрование действует в базе. В бланках, которые система выкладывает в файловый архив, и в машиночитаемом слепке заявки те же сведения записаны открытым текстом: файл предназначен для открытия вне системы, и зашифрованный он этой задачи не решал бы. Из этого следует требование к каталогу архива: он защищается наравне с базой - права на чтение только у прикладного сервера и у тех, кому папка отдана в сетевой доступ, каталог не может находиться внутри общедоступных каталогов системы, и прикладной сервер это проверяет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и оценка объёма выгрузки.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1 615 тестов в 284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3 333 теста в 377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179 тестов в 45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5 127</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9"/>
        <w:gridCol w:w="5446"/>
      </w:tblGrid>
      <w:tr>
        <w:trPr>
          <w:tblHeader w:val="true"/>
          <w:cantSplit w:val="true"/>
        </w:trPr>
        <w:tc>
          <w:tcPr>
            <w:tcW w:type="dxa" w:w="39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4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0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46"/>
          </w:tcPr>
          <w:p>
            <w:pPr>
              <w:spacing w:line="240" w:lineRule="auto" w:after="0"/>
              <w:ind w:firstLine="0"/>
              <w:jc w:val="left"/>
            </w:pPr>
            <w:r>
              <w:rPr>
                <w:rFonts w:ascii="Times New Roman" w:hAnsi="Times New Roman" w:cs="Times New Roman" w:eastAsia="Times New Roman"/>
                <w:b w:val="0"/>
                <w:i w:val="0"/>
                <w:color w:val="000000"/>
                <w:sz w:val="24"/>
              </w:rPr>
              <w:t>400 137 строк в 1 419 файлах</w:t>
            </w:r>
          </w:p>
        </w:tc>
      </w:tr>
      <w:tr>
        <w:trPr>
          <w:cantSplit w:val="true"/>
        </w:trPr>
        <w:tc>
          <w:tcPr>
            <w:tcW w:type="dxa" w:w="390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46"/>
          </w:tcPr>
          <w:p>
            <w:pPr>
              <w:spacing w:line="240" w:lineRule="auto" w:after="0"/>
              <w:ind w:firstLine="0"/>
              <w:jc w:val="left"/>
            </w:pPr>
            <w:r>
              <w:rPr>
                <w:rFonts w:ascii="Times New Roman" w:hAnsi="Times New Roman" w:cs="Times New Roman" w:eastAsia="Times New Roman"/>
                <w:b w:val="0"/>
                <w:i w:val="0"/>
                <w:color w:val="000000"/>
                <w:sz w:val="24"/>
              </w:rPr>
              <w:t>85 673 строки без тестов: 158 служб, 69 обработчиков, 76 моделей данных</w:t>
            </w:r>
          </w:p>
        </w:tc>
      </w:tr>
      <w:tr>
        <w:trPr>
          <w:cantSplit w:val="true"/>
        </w:trPr>
        <w:tc>
          <w:tcPr>
            <w:tcW w:type="dxa" w:w="390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46"/>
          </w:tcPr>
          <w:p>
            <w:pPr>
              <w:spacing w:line="240" w:lineRule="auto" w:after="0"/>
              <w:ind w:firstLine="0"/>
              <w:jc w:val="left"/>
            </w:pPr>
            <w:r>
              <w:rPr>
                <w:rFonts w:ascii="Times New Roman" w:hAnsi="Times New Roman" w:cs="Times New Roman" w:eastAsia="Times New Roman"/>
                <w:b w:val="0"/>
                <w:i w:val="0"/>
                <w:color w:val="000000"/>
                <w:sz w:val="24"/>
              </w:rPr>
              <w:t>184 132 строки: 38 экранов, 204 элемента</w:t>
            </w:r>
          </w:p>
        </w:tc>
      </w:tr>
      <w:tr>
        <w:trPr>
          <w:cantSplit w:val="true"/>
        </w:trPr>
        <w:tc>
          <w:tcPr>
            <w:tcW w:type="dxa" w:w="390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46"/>
          </w:tcPr>
          <w:p>
            <w:pPr>
              <w:spacing w:line="240" w:lineRule="auto" w:after="0"/>
              <w:ind w:firstLine="0"/>
              <w:jc w:val="left"/>
            </w:pPr>
            <w:r>
              <w:rPr>
                <w:rFonts w:ascii="Times New Roman" w:hAnsi="Times New Roman" w:cs="Times New Roman" w:eastAsia="Times New Roman"/>
                <w:b w:val="0"/>
                <w:i w:val="0"/>
                <w:color w:val="000000"/>
                <w:sz w:val="24"/>
              </w:rPr>
              <w:t>490 в 39 группах</w:t>
            </w:r>
          </w:p>
        </w:tc>
      </w:tr>
      <w:tr>
        <w:trPr>
          <w:cantSplit w:val="true"/>
        </w:trPr>
        <w:tc>
          <w:tcPr>
            <w:tcW w:type="dxa" w:w="390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46"/>
          </w:tcPr>
          <w:p>
            <w:pPr>
              <w:spacing w:line="240" w:lineRule="auto" w:after="0"/>
              <w:ind w:firstLine="0"/>
              <w:jc w:val="left"/>
            </w:pPr>
            <w:r>
              <w:rPr>
                <w:rFonts w:ascii="Times New Roman" w:hAnsi="Times New Roman" w:cs="Times New Roman" w:eastAsia="Times New Roman"/>
                <w:b w:val="0"/>
                <w:i w:val="0"/>
                <w:color w:val="000000"/>
                <w:sz w:val="24"/>
              </w:rPr>
              <w:t>99</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15.1</w:t>
      </w:r>
    </w:p>
    <w:tbl>
      <w:tblPr>
        <w:tblStyle w:val="TableGrid"/>
        <w:tblW w:type="auto" w:w="0"/>
        <w:jc w:val="center"/>
        <w:tblLayout w:type="fixed"/>
        <w:tblLook w:firstColumn="1" w:firstRow="1" w:lastColumn="0" w:lastRow="0" w:noHBand="0" w:noVBand="1" w:val="04A0"/>
        <w:tblLayout w:type="fixed"/>
      </w:tblPr>
      <w:tblGrid>
        <w:gridCol w:w="3909"/>
        <w:gridCol w:w="5446"/>
      </w:tblGrid>
      <w:tr>
        <w:trPr>
          <w:tblHeader w:val="true"/>
          <w:cantSplit w:val="true"/>
        </w:trPr>
        <w:tc>
          <w:tcPr>
            <w:tcW w:type="dxa" w:w="39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4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0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46"/>
          </w:tcPr>
          <w:p>
            <w:pPr>
              <w:spacing w:line="240" w:lineRule="auto" w:after="0"/>
              <w:ind w:firstLine="0"/>
              <w:jc w:val="left"/>
            </w:pPr>
            <w:r>
              <w:rPr>
                <w:rFonts w:ascii="Times New Roman" w:hAnsi="Times New Roman" w:cs="Times New Roman" w:eastAsia="Times New Roman"/>
                <w:b w:val="0"/>
                <w:i w:val="0"/>
                <w:color w:val="000000"/>
                <w:sz w:val="24"/>
              </w:rPr>
              <w:t>5 127</w:t>
            </w:r>
          </w:p>
        </w:tc>
      </w:tr>
      <w:tr>
        <w:trPr>
          <w:cantSplit w:val="true"/>
        </w:trPr>
        <w:tc>
          <w:tcPr>
            <w:tcW w:type="dxa" w:w="390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46"/>
          </w:tcPr>
          <w:p>
            <w:pPr>
              <w:spacing w:line="240" w:lineRule="auto" w:after="0"/>
              <w:ind w:firstLine="0"/>
              <w:jc w:val="left"/>
            </w:pPr>
            <w:r>
              <w:rPr>
                <w:rFonts w:ascii="Times New Roman" w:hAnsi="Times New Roman" w:cs="Times New Roman" w:eastAsia="Times New Roman"/>
                <w:b w:val="0"/>
                <w:i w:val="0"/>
                <w:color w:val="000000"/>
                <w:sz w:val="24"/>
              </w:rPr>
              <w:t>201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