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1.52</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Правами закрываются не только экраны и действия, но иногда и отдельные сведения внутри ответа. Состав ответственных организации и компании открыт любому вошедшему: его запрашивает форма подачи заявки, и без него она не соберётся. А вот пометка «обязательный согласующий» - служебная: по ней видно, через кого в организации проходят решения. Она показывается работнику своей организации, чтобы форма подачи заявки перечислила ему тех, чьё согласование обязательно, и тому, кто ведёт справочники. Заявителю, спрашивающему про чужую организацию, состав ответственных виден, а пометка - нет.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507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 xml:space="preserve">По тому же правилу разбирается и повреждённая запись пароля. Сохранённое значение система разбирает перед сравнением, и если разобрать его не удалось - строка обрезана, записана другим способом, испорчена при переносе данных, - это дефект записи, а не ошибка работника. Такой случай не считается неудачной попыткой: система отвечает </w:t>
      </w:r>
      <w:r>
        <w:rPr>
          <w:rFonts w:ascii="Times New Roman" w:hAnsi="Times New Roman" w:cs="Times New Roman" w:eastAsia="Times New Roman"/>
          <w:b/>
          <w:i w:val="0"/>
          <w:color w:val="000000"/>
          <w:sz w:val="28"/>
        </w:rPr>
        <w:t>«Вход невозможен из-за ошибки на сервере. Обратитесь к администратору.»</w:t>
      </w:r>
      <w:r>
        <w:rPr>
          <w:rFonts w:ascii="Times New Roman" w:hAnsi="Times New Roman" w:cs="Times New Roman" w:eastAsia="Times New Roman"/>
          <w:b w:val="0"/>
          <w:i w:val="0"/>
          <w:color w:val="000000"/>
          <w:sz w:val="28"/>
        </w:rPr>
        <w:t>, счётчик не двигает и записывает случай отдельным видом события, а в системный журнал - имя учётной записи, чтобы администратор знал, чью запись чинить. Иначе работник с верным паролем получал бы отказ, повторял попытку и запирал себе доступ, а в журнале это выглядело бы как подбор. Устройство хранилища паролей наружу при этом не раскрывается.</w:t>
      </w:r>
    </w:p>
    <w:p>
      <w:r>
        <w:rPr>
          <w:rFonts w:ascii="Times New Roman" w:hAnsi="Times New Roman" w:cs="Times New Roman" w:eastAsia="Times New Roman"/>
          <w:b w:val="0"/>
          <w:i w:val="0"/>
          <w:color w:val="000000"/>
          <w:sz w:val="28"/>
        </w:rPr>
        <w:t>Продление сеанса разбирает причину так же. Маркер продления обновляется в фоне, пока работник занят делом, и неудача этого обновления означает разное: недействительный маркер - что сеанс закончился, несостоявшийся запрос к базе - что система временно недоступна. В первом случае сеанс прекращается, во втором рабочее место повторяет попытку, не трогая ни маркеры, ни открытый экран. Без этого различия секундная недоступность базы выбрасывала бы из системы сразу всех, у кого обновление пришлось на это мгновение, включая охранника на проходной в момент отметки. Обновление пары маркеров выполняется одной неделимой записью, поэтому прежний маркер не может оказаться погашенным при незаписанном новом - иначе сеанс умер бы при следующем продлении без видимой причины.</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2 065 тестов в 365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4 377 тестов в 481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6 629</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0"/>
        <w:gridCol w:w="5456"/>
      </w:tblGrid>
      <w:tr>
        <w:trPr>
          <w:tblHeader w:val="true"/>
          <w:cantSplit w:val="true"/>
        </w:trPr>
        <w:tc>
          <w:tcPr>
            <w:tcW w:type="dxa" w:w="38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468 318 строк в 1 697 файлах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101 765 строк без тестов: 184 службы, 75 обработчиков, 81 модель данных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195 283 строки: 39 экранов, 216 элементов</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507 в 39 группах</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6 629</w:t>
            </w:r>
          </w:p>
        </w:tc>
      </w:tr>
      <w:tr>
        <w:trPr>
          <w:cantSplit w:val="true"/>
        </w:trPr>
        <w:tc>
          <w:tcPr>
            <w:tcW w:type="dxa" w:w="389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5"/>
          </w:tcPr>
          <w:p>
            <w:pPr>
              <w:spacing w:line="240" w:lineRule="auto" w:after="0"/>
              <w:ind w:firstLine="0"/>
              <w:jc w:val="left"/>
            </w:pPr>
            <w:r>
              <w:rPr>
                <w:rFonts w:ascii="Times New Roman" w:hAnsi="Times New Roman" w:cs="Times New Roman" w:eastAsia="Times New Roman"/>
                <w:b w:val="0"/>
                <w:i w:val="0"/>
                <w:color w:val="000000"/>
                <w:sz w:val="24"/>
              </w:rPr>
              <w:t>255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