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КРИТЕРИИ УСПЕШНОГО ЗАВЕРШЕНИЯ ПИЛОТНОГО ПЕРИОДА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проведения, проверяемые сценарии и порядок приёмки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Аудитория: руководители подразделений, бюро пропусков, подразделение информационных технологий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3.9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31.07.2026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Уровни замечаний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Критерии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Основной процесс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Работа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Ведение системы силами организации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3.4. Данные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3.5. Пригодность к работе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Показатели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Скорость обработки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Работа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Объём работы за период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Защита информации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Эксплуатация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Условия завершения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Результат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содержит критерии, по которым оценивается результат пилотной эксплуатации системы электронной подачи заявок «Бюро пропусков».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Критерии сформулированы как способности системы, а не как отдельные действия в интерфейсе. Это сделано намеренно: проверка вида «заявка на лицо из чёрного списка отклоняется» зависит от того, ведётся ли чёрный список вообще, и в конкретной организации может оказаться неприменимой. Критерий выполнен, если соответствующая работа велась в системе штатными средствами и её результат совпал с ожидаемым.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Сроки проведения, состав участников и порядок работы с замечаниями определяются отдельно.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Сроки проведения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678"/>
        <w:gridCol w:w="4678"/>
      </w:tblGrid>
      <w:tr>
        <w:trPr>
          <w:tblHeader w:val="true"/>
          <w:cantSplit w:val="true"/>
        </w:trPr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начала</w:t>
            </w:r>
          </w:p>
        </w:tc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окончания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1.2 — Участвующие посты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постов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1.3 — Участвующие подразделения и организации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подразделений и организаций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1.4 — Ответственные за проведение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Должность, фамилия, контакты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Уровни замечаний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Уровни замечаний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4254"/>
        <w:gridCol w:w="2833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42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Признак</w:t>
            </w:r>
          </w:p>
        </w:tc>
        <w:tc>
          <w:tcPr>
            <w:tcW w:type="dxa" w:w="28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Влияние на решение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Блокирующий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невозможна, обходного пути нет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Критический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Ключевая функция не работает, обходной путь несоразмерно трудоёмок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Функция работает неверно, обходной путь приемлем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Допускается при согласованном сроке устранения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 на результат работы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Критерии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Основной процесс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Критерии по основному процессу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25"/>
        <w:gridCol w:w="7618"/>
        <w:gridCol w:w="1312"/>
      </w:tblGrid>
      <w:tr>
        <w:trPr>
          <w:tblHeader w:val="true"/>
          <w:cantSplit w:val="true"/>
        </w:trPr>
        <w:tc>
          <w:tcPr>
            <w:tcW w:type="dxa" w:w="4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61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3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 подаются, обрабатываются и доводятся до итогового решения штатными средствами системы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Оформляются все применяемые в организации виды доступа: люди, транспорт, материальные ценности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Согласование выполняется, решение каждого согласующего фиксируется и доступно для просмотра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самостоятельно отслеживает состояние своей заявки и получает результат без обращения в бюро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Взаимодействие по заявке (уточнения, отказ с причиной, отзыв) ведётся в системе, а не вне её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Печатные формы формируются по загруженным шаблонам и пригодны для использования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Работа постов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3.2 — Критерии по работе постов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160"/>
        <w:gridCol w:w="1629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1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6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 видит актуальный перечень допущенных объектов без участия администратора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Фактический проход отмечается, состояние обновляется у остальных участников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Ограничения доступа, заданные в системе, при проверке на посту соблюдаются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Данные за прошедшие сутки остаются доступны после суточного сброса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Ведение системы силами организации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3.3 — Критерии по ведению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32"/>
        <w:gridCol w:w="1556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3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 и права работников ведутся силами организации, без обращения к разработчику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 и перечни постов ведутся силами организации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Разграничение доступа настраивается под фактическую структуру подразделений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Отчётность и выгрузки формируются в объёме, достаточном для работы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3.4. Данные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3.4 — Критерии по данным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026"/>
        <w:gridCol w:w="176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0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7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Внесённые сведения не теряются и остаются доступны на всём протяжении периода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Нужная запись находится поиском за приемлемое время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История изменений позволяет установить, кто и когда внёс изменение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3.5. Пригодность к работе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3.5 — Критерии пригодности к работе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305"/>
        <w:gridCol w:w="148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3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48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Работники выполняют свои задачи после ознакомления с руководством, без индивидуального обучения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19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не создаёт дополнительной работы по сравнению с прежним порядком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работников не носят массового характера и разбираются силами бюро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Показатели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Скорость обработки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Основной ожидаемый результат внедрения. Значения снимаются в разделе аналитики системы, на вкладке обработки заявок, и не требуют ручного подсчёта.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Целевые значения устанавливает организация исходя из прежнего порядка работы: разумный ориентир - обработка не медленнее, чем до внедрения.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Скорость обработки заявок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4750"/>
        <w:gridCol w:w="2019"/>
        <w:gridCol w:w="2019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47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01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Целевое значение</w:t>
            </w:r>
          </w:p>
        </w:tc>
        <w:tc>
          <w:tcPr>
            <w:tcW w:type="dxa" w:w="201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475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принятия заявки в работу</w:t>
            </w: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475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от подачи до итогового решения</w:t>
            </w: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23</w:t>
            </w:r>
          </w:p>
        </w:tc>
        <w:tc>
          <w:tcPr>
            <w:tcW w:type="dxa" w:w="475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согласования</w:t>
            </w: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475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отказов от общего числа заявок</w:t>
            </w:r>
          </w:p>
        </w:tc>
        <w:tc>
          <w:tcPr>
            <w:tcW w:type="dxa" w:w="201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Длительности рассчитываются с учётом режима работы бюро, заданного в системе. Если режим не заполнен, расчёт ведётся по календарному времени. Перед снятием показателей следует убедиться, что режим работы внесён, иначе значения окажутся завышенными и несопоставимыми с прежним порядком.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Работа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Первые два показателя снимаются по журналу запросов, два последних - средствами наблюдения подразделения информационных технологий.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4.2 — Показатели работы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4382"/>
        <w:gridCol w:w="2465"/>
        <w:gridCol w:w="1941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438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46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Допустимое значение</w:t>
            </w:r>
          </w:p>
        </w:tc>
        <w:tc>
          <w:tcPr>
            <w:tcW w:type="dxa" w:w="194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запросов, завершившихся ошибкой сервера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0,5 процента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26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ответа системы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1 секунды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27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Доступность в часы работы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менее 99 процентов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Незапланированные перерывы в работе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Отсутствуют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Журнал запросов показывает среднее время ответа и позволяет отобрать запросы по коду ответа за период. Долю ошибок считают отношением числа запросов с кодом ответа 500 и выше к общему числу за тот же период; выгрузка журнала в электронную таблицу для этого предусмотрена.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Объём работы за период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 фиксирует, какая работа фактически прошла через систему. Эти сведения не являются критериями: они показывают, насколько представительна выборка, на которой сделаны выводы. Часть значений снимается готовыми метриками конструктора отчётов, остальные - выгрузкой списка и подсчётом строк, порядок указан в таблице.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4.3 — Объём работы за период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05"/>
        <w:gridCol w:w="4121"/>
        <w:gridCol w:w="1630"/>
      </w:tblGrid>
      <w:tr>
        <w:trPr>
          <w:tblHeader w:val="true"/>
          <w:cantSplit w:val="true"/>
        </w:trPr>
        <w:tc>
          <w:tcPr>
            <w:tcW w:type="dxa" w:w="36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41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Откуда берётся</w:t>
            </w:r>
          </w:p>
        </w:tc>
        <w:tc>
          <w:tcPr>
            <w:tcW w:type="dxa" w:w="16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Подано заявок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«Количество заявок»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Обработано заявок с итоговым решением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 же метрика с разрезом по статусу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Отклонено заявок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 же метрика с разрезом по статусу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Оформлено вложений, всего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«Заявки» за период, сумма графы «Вложений»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людей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«Люди», число строк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проходов людей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«Входы людей»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транспортных средств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«Машины», число строк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въездов транспорта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«Въезды машин»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Действующих учётных записей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показателей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Организаций и подразделений, подававших заявки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«Количество заявок» с разрезом по организации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Списки «Люди» и «Машины» отбором по датам не ограничиваются и показывают весь реестр. Если система разворачивалась под пилотную эксплуатацию пустой, это и есть заявленное за период. Иначе показатель снимается сопоставлением с состоянием реестра на начало периода.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4.4 — Заявки по видам вложений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57"/>
        <w:gridCol w:w="3699"/>
      </w:tblGrid>
      <w:tr>
        <w:trPr>
          <w:tblHeader w:val="true"/>
          <w:cantSplit w:val="true"/>
        </w:trPr>
        <w:tc>
          <w:tcPr>
            <w:tcW w:type="dxa" w:w="56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Наименование вида вложения</w:t>
            </w:r>
          </w:p>
        </w:tc>
        <w:tc>
          <w:tcPr>
            <w:tcW w:type="dxa" w:w="369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Количество заявок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Сопоставление заявленного и фактически прошедшего показывает, насколько выданные допуски используются. Значительный разрыв означает, что заявки оформляются с запасом, и это повод пересмотреть порядок подачи, а не признак неисправности системы.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Разбивка по видам вложений делается разрезом метрики «Количество заявок» по типу вложения и показывает число заявок с вложением каждого вида. Перечень видов зависит от того, какие типы заведены в организации, поэтому строки заполняются по факту.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Защита информации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Критерии по защите информации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058"/>
        <w:gridCol w:w="1730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05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7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29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ведётся по защищённому соединению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видит только те разделы и данные, которые ему разрешены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к персональным данным учитываются в журнале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Согласия на обработку персональных данных фиксируются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33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 шифрования персональных данных хранится отдельно от сервера и резервных копий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Эксплуатация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Критерии по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6777"/>
        <w:gridCol w:w="2012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67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20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34</w:t>
            </w:r>
          </w:p>
        </w:tc>
        <w:tc>
          <w:tcPr>
            <w:tcW w:type="dxa" w:w="67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Резервное копирование выполняется, восстановление проверено на практике</w:t>
            </w:r>
          </w:p>
        </w:tc>
        <w:tc>
          <w:tcPr>
            <w:tcW w:type="dxa" w:w="2012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6.1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12"/>
        <w:gridCol w:w="1577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35</w:t>
            </w:r>
          </w:p>
        </w:tc>
        <w:tc>
          <w:tcPr>
            <w:tcW w:type="dxa" w:w="72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Обновление версии проведено с сохранением данных</w:t>
            </w:r>
          </w:p>
        </w:tc>
        <w:tc>
          <w:tcPr>
            <w:tcW w:type="dxa" w:w="1577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</w:t>
            </w:r>
          </w:p>
        </w:tc>
        <w:tc>
          <w:tcPr>
            <w:tcW w:type="dxa" w:w="72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Состояние системы контролируется, отказ обнаруживается средствами наблюдения</w:t>
            </w:r>
          </w:p>
        </w:tc>
        <w:tc>
          <w:tcPr>
            <w:tcW w:type="dxa" w:w="1577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37</w:t>
            </w:r>
          </w:p>
        </w:tc>
        <w:tc>
          <w:tcPr>
            <w:tcW w:type="dxa" w:w="72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Причины обращений устанавливаются по журналам силами подразделения информационных технологий</w:t>
            </w:r>
          </w:p>
        </w:tc>
        <w:tc>
          <w:tcPr>
            <w:tcW w:type="dxa" w:w="1577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Условия завершения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Пилотная эксплуатация считается успешной при одновременном выполнении условий.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7.1 — Условия успешного завершения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6"/>
        <w:gridCol w:w="8829"/>
      </w:tblGrid>
      <w:tr>
        <w:trPr>
          <w:tblHeader w:val="true"/>
          <w:cantSplit w:val="true"/>
        </w:trPr>
        <w:tc>
          <w:tcPr>
            <w:tcW w:type="dxa" w:w="5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88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Условие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критерии разделов 3, 5 и 6 выполнены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Показатели раздела 4 достигнуты, скорость обработки не хуже прежнего порядка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блокирующих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критических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каждому незакрытому значительному замечанию согласован срок устранения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Задействованы все роли: заявитель, оператор бюро, согласующий, работник поста, администратор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Незначительные замечания на решение не влияют.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3 и 4 исключений не допускают: замечание, по которому согласован лишь срок устранения, считается незакрытым.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Критерий, не применимый в организации, отмечается как неприменимый с указанием причины и на решение не влияет.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Результат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8.1 — Результат пилотной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987"/>
        <w:gridCol w:w="3368"/>
      </w:tblGrid>
      <w:tr>
        <w:trPr>
          <w:tblHeader w:val="true"/>
          <w:cantSplit w:val="true"/>
        </w:trPr>
        <w:tc>
          <w:tcPr>
            <w:tcW w:type="dxa" w:w="59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33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Дата подведения итогов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Выполнено критериев из 37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Отмечено как неприменимые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блокирующих замечаний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критических замечаний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значительных замечаний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Решение</w:t>
            </w:r>
          </w:p>
        </w:tc>
        <w:tc>
          <w:tcPr>
            <w:tcW w:type="dxa" w:w="336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Допустимые формулировки решения: пилотная эксплуатация завершена успешно; продлевается до устранения замечаний; не завершена.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8.2 — Основание при отрицательном решении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Не выполненные условия и причина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Результат подтверждают ответственные лица со стороны организации и со стороны разработчика.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pPr>
        <w:spacing w:after="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с реализацией: уточнены количественные показатели, состав прав таблиц постов, поведение поиска, требования к версии Docker Compose, порядок развёртывания стенда и снятия показателей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вложения от повторного добавления одного человека или одной машины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порядок работы с режимом технических работ: объявляемые сроки и контакты, снятие режима по истечении срока, вход супер-администратора и аварийное снятие командой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показатели; описан перенос длинного перечня в бланке вместе с шапкой столбцов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методов программного интерфейса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обязательное согласие на обработку персональных данных при входе;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состав записи о согласии: редакция текста и его контрольная сумма; описан показ текста согласия на странице документа;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сквозных сценариев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1.9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напоминания молчащим согласующим, признак нахождения работника в системе и перечень принимающих заявки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просмотр хода сбора согласий администратором: доля подтвердивших и список остальных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от подбора пароля с нарастающим сроком блокировки входа и её досрочное снятие администратором в карточке работника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перенос текста согласия из загруженного документа и вопрос о повторном запросе согласия при сохранении изменённого текста;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несуществующий логин запирается на те же сроки и тем же сообщением, что настоящий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скрытие фамилии работника, пока он не дал согласия на обработку персональных данных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суточная уборка недействительных маркеров продления и прочитанных уведомлений, команда очистки накопленных данных и сроки хранения по группам;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сроки автоматической уборки задаются в описании службы, а не в файле параметров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обзор занятого места по таблицам, исключение групп из очистки и оговорка о том, что удаление строк не возвращает место операционной системе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2.8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отзыв согласия на обработку персональных данных работником и администратором, запись выдачи и отзыва в историю учётной записи; уточнён состав сквозного поиска;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2.9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распознавание опечаток работает при поиске внутри раздела, а сквозной поиск ищет по фрагменту строки и понимает неверную раскладку и написание госномера;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сужение очистки внутри группы: отрезок времени, тип сущности в журнале действий и отдельный пост для суточных слепков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до согласия скрываются и рабочие контакты работника, а не только фамилия, имя и отчество;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резервное копирование: состав копии, сроки хранения, настройка, проверка восстановимости и порядок восстановления; исправлена команда проверки выгрузки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 способ создать ключи шифрования копий без установки средства на сервер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разделе о копировании указано, где именно выполняются команды, и добавлен разбор причин сбоя копирования по сообщениям журнала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Дополнены таблицы сообщений копирования: шаги файлов и архива бланков, сообщения проверки восстановимости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файловый архив бланков: раскладка по шаблонам, обновление и заморозка файлов, ограничение занятого места и подготовка каталога на сервере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Исправлены ссылки на подраздел об очистке накопленных данных, съехавшие после добавления нового подраздела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3.8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Уточнён состав пары ключей шифрования копий и порядок переноса закрытого ключа; в примерах восстановления указаны контуры и способ выбрать копию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3.9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Разобраны случаи прерванного восстановления и порядок ручного запуска после него; описана метка в имени копии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