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3.9</w:t>
      </w:r>
    </w:p>
    <w:p>
      <w:pPr>
        <w:ind w:firstLine="0"/>
        <w:jc w:val="center"/>
      </w:pPr>
      <w:r>
        <w:rPr>
          <w:rFonts w:ascii="Times New Roman" w:hAnsi="Times New Roman" w:cs="Times New Roman" w:eastAsia="Times New Roman"/>
          <w:b w:val="0"/>
          <w:i w:val="0"/>
          <w:color w:val="000000"/>
          <w:sz w:val="26"/>
        </w:rPr>
        <w:t>Дата: 31.07.2026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Переименование базы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Очистка накопленных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65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9.8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9.7.</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981"/>
        <w:gridCol w:w="6375"/>
      </w:tblGrid>
      <w:tr>
        <w:trPr>
          <w:tblHeader w:val="true"/>
          <w:cantSplit w:val="true"/>
        </w:trPr>
        <w:tc>
          <w:tcPr>
            <w:tcW w:type="dxa" w:w="29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74"/>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раскладка внутри каталога и предельный объём настраиваются в разделе администрирования.</w:t>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Выгрузка останавливается, когда на разделе остаётся менее двух гигабайт свободного места либо когда архив упёрся в заданный предельный объём. Заявки при этом принимаются обычным порядком: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Отдать каталог в сетевой доступ следует только на чтение: система пишет в него сама, а правка файла снаружи будет затёрта при следующей выгрузке этой заявки.</w:t>
      </w:r>
    </w:p>
    <w:p>
      <w:pPr>
        <w:pStyle w:val="Heading2"/>
        <w:ind w:firstLine="0"/>
      </w:pPr>
      <w:r>
        <w:rPr>
          <w:rFonts w:ascii="Times New Roman" w:hAnsi="Times New Roman" w:cs="Times New Roman" w:eastAsia="Times New Roman"/>
          <w:b/>
          <w:i w:val="0"/>
          <w:color w:val="000000"/>
          <w:sz w:val="28"/>
        </w:rPr>
        <w:t>9.7.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13"/>
        <w:gridCol w:w="3112"/>
        <w:gridCol w:w="3731"/>
      </w:tblGrid>
      <w:tr>
        <w:trPr>
          <w:tblHeader w:val="true"/>
          <w:cantSplit w:val="true"/>
        </w:trPr>
        <w:tc>
          <w:tcPr>
            <w:tcW w:type="dxa" w:w="2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1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7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687"/>
        <w:gridCol w:w="2735"/>
        <w:gridCol w:w="3934"/>
      </w:tblGrid>
      <w:tr>
        <w:trPr>
          <w:tblHeader w:val="true"/>
          <w:cantSplit w:val="true"/>
        </w:trPr>
        <w:tc>
          <w:tcPr>
            <w:tcW w:type="dxa" w:w="26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7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2304"/>
        <w:gridCol w:w="3611"/>
        <w:gridCol w:w="3440"/>
      </w:tblGrid>
      <w:tr>
        <w:trPr>
          <w:tblHeader w:val="true"/>
          <w:cantSplit w:val="true"/>
        </w:trPr>
        <w:tc>
          <w:tcPr>
            <w:tcW w:type="dxa" w:w="2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3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44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-lh /var/backups/systemburo/daily/buro-db-*</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784"/>
        <w:gridCol w:w="1864"/>
        <w:gridCol w:w="4708"/>
      </w:tblGrid>
      <w:tr>
        <w:trPr>
          <w:tblHeader w:val="true"/>
          <w:cantSplit w:val="true"/>
        </w:trPr>
        <w:tc>
          <w:tcPr>
            <w:tcW w:type="dxa" w:w="27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8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78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863"/>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784"/>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863"/>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784"/>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863"/>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784"/>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863"/>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784"/>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863"/>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3005"/>
        <w:gridCol w:w="1933"/>
        <w:gridCol w:w="4417"/>
      </w:tblGrid>
      <w:tr>
        <w:trPr>
          <w:tblHeader w:val="true"/>
          <w:cantSplit w:val="true"/>
        </w:trPr>
        <w:tc>
          <w:tcPr>
            <w:tcW w:type="dxa" w:w="30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30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33"/>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17"/>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300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1933"/>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17"/>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300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1933"/>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17"/>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9.8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383"/>
        <w:gridCol w:w="6972"/>
      </w:tblGrid>
      <w:tr>
        <w:trPr>
          <w:tblHeader w:val="true"/>
          <w:cantSplit w:val="true"/>
        </w:trPr>
        <w:tc>
          <w:tcPr>
            <w:tcW w:type="dxa" w:w="238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9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8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383"/>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9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383"/>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971"/>
          </w:tcPr>
          <w:p>
            <w:pPr>
              <w:spacing w:line="240" w:lineRule="auto" w:after="0"/>
              <w:ind w:firstLine="0"/>
              <w:jc w:val="left"/>
            </w:pPr>
            <w:r>
              <w:rPr>
                <w:rFonts w:ascii="Courier New" w:hAnsi="Courier New" w:cs="Courier New" w:eastAsia="Courier New"/>
                <w:b w:val="0"/>
                <w:i w:val="0"/>
                <w:color w:val="000000"/>
                <w:sz w:val="20"/>
              </w:rPr>
              <w:t>docker stats</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13.1</w:t>
      </w:r>
    </w:p>
    <w:tbl>
      <w:tblPr>
        <w:tblStyle w:val="TableGrid"/>
        <w:tblW w:type="auto" w:w="0"/>
        <w:jc w:val="center"/>
        <w:tblLayout w:type="fixed"/>
        <w:tblLook w:firstColumn="1" w:firstRow="1" w:lastColumn="0" w:lastRow="0" w:noHBand="0" w:noVBand="1" w:val="04A0"/>
        <w:tblLayout w:type="fixed"/>
      </w:tblPr>
      <w:tblGrid>
        <w:gridCol w:w="2614"/>
        <w:gridCol w:w="6742"/>
      </w:tblGrid>
      <w:tr>
        <w:trPr>
          <w:tblHeader w:val="true"/>
          <w:cantSplit w:val="true"/>
        </w:trPr>
        <w:tc>
          <w:tcPr>
            <w:tcW w:type="dxa" w:w="2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61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41"/>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61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4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61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4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61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41"/>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69"/>
        <w:gridCol w:w="3232"/>
        <w:gridCol w:w="3755"/>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7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9.8</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1559"/>
        <w:gridCol w:w="5954"/>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14.1</w:t>
      </w:r>
    </w:p>
    <w:tbl>
      <w:tblPr>
        <w:tblStyle w:val="TableGrid"/>
        <w:tblW w:type="auto" w:w="0"/>
        <w:jc w:val="center"/>
        <w:tblLayout w:type="fixed"/>
        <w:tblLook w:firstColumn="1" w:firstRow="1" w:lastColumn="0" w:lastRow="0" w:noHBand="0" w:noVBand="1" w:val="04A0"/>
        <w:tblLayout w:type="fixed"/>
      </w:tblPr>
      <w:tblGrid>
        <w:gridCol w:w="1701"/>
        <w:gridCol w:w="2206"/>
        <w:gridCol w:w="5449"/>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205"/>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48"/>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205"/>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48"/>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2136"/>
        <w:gridCol w:w="2799"/>
        <w:gridCol w:w="4421"/>
      </w:tblGrid>
      <w:tr>
        <w:trPr>
          <w:tblHeader w:val="true"/>
          <w:cantSplit w:val="true"/>
        </w:trPr>
        <w:tc>
          <w:tcPr>
            <w:tcW w:type="dxa" w:w="21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7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135"/>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2799"/>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42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Б.2</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822"/>
        <w:gridCol w:w="3174"/>
        <w:gridCol w:w="2360"/>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1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3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173"/>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360"/>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Б.6</w:t>
      </w:r>
    </w:p>
    <w:tbl>
      <w:tblPr>
        <w:tblStyle w:val="TableGrid"/>
        <w:tblW w:type="auto" w:w="0"/>
        <w:jc w:val="center"/>
        <w:tblLayout w:type="fixed"/>
        <w:tblLook w:firstColumn="1" w:firstRow="1" w:lastColumn="0" w:lastRow="0" w:noHBand="0" w:noVBand="1" w:val="04A0"/>
        <w:tblLayout w:type="fixed"/>
      </w:tblPr>
      <w:tblGrid>
        <w:gridCol w:w="3084"/>
        <w:gridCol w:w="1559"/>
        <w:gridCol w:w="4712"/>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1559"/>
          </w:tcPr>
          <w:p>
            <w:pPr>
              <w:spacing w:line="240" w:lineRule="auto" w:after="0"/>
              <w:ind w:firstLine="0"/>
              <w:jc w:val="left"/>
            </w:pPr>
            <w:r>
              <w:rPr>
                <w:rFonts w:ascii="Courier New" w:hAnsi="Courier New" w:cs="Courier New" w:eastAsia="Courier New"/>
                <w:b w:val="0"/>
                <w:i w:val="0"/>
                <w:color w:val="000000"/>
                <w:sz w:val="20"/>
              </w:rPr>
              <w:t>4</w:t>
            </w:r>
          </w:p>
        </w:tc>
        <w:tc>
          <w:tcPr>
            <w:tcW w:type="dxa" w:w="4711"/>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1559"/>
          </w:tcPr>
          <w:p>
            <w:pPr>
              <w:spacing w:line="240" w:lineRule="auto" w:after="0"/>
              <w:ind w:firstLine="0"/>
              <w:jc w:val="left"/>
            </w:pPr>
            <w:r>
              <w:rPr>
                <w:rFonts w:ascii="Courier New" w:hAnsi="Courier New" w:cs="Courier New" w:eastAsia="Courier New"/>
                <w:b w:val="0"/>
                <w:i w:val="0"/>
                <w:color w:val="000000"/>
                <w:sz w:val="20"/>
              </w:rPr>
              <w:t>6</w:t>
            </w:r>
          </w:p>
        </w:tc>
        <w:tc>
          <w:tcPr>
            <w:tcW w:type="dxa" w:w="4711"/>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1559"/>
          </w:tcPr>
          <w:p>
            <w:pPr>
              <w:spacing w:line="240" w:lineRule="auto" w:after="0"/>
              <w:ind w:firstLine="0"/>
              <w:jc w:val="left"/>
            </w:pPr>
            <w:r>
              <w:rPr>
                <w:rFonts w:ascii="Courier New" w:hAnsi="Courier New" w:cs="Courier New" w:eastAsia="Courier New"/>
                <w:b w:val="0"/>
                <w:i w:val="0"/>
                <w:color w:val="000000"/>
                <w:sz w:val="20"/>
              </w:rPr>
              <w:t>weekly</w:t>
            </w:r>
          </w:p>
        </w:tc>
        <w:tc>
          <w:tcPr>
            <w:tcW w:type="dxa" w:w="4711"/>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711"/>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711"/>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21"/>
        <w:gridCol w:w="1768"/>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6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6861"/>
        <w:gridCol w:w="192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8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9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92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вопрос о повторном запросе согласия при сохранении изменённого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команда очистки накопленных данных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работником и администратором, запись выдачи и отзыва в историю учётной записи; уточнён состав сквозного поиска;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распознавание опечаток работает при поиске внутри раздела, а сквозной поиск ищет по фрагменту строки и понимает неверную раскладку и написание госномера;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 а не только фамилия, имя и отчество;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 исправлена команда проверки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копирования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 и подготовка каталога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 съехавшие после добавления нового подраздела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