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3.2</w:t>
      </w:r>
    </w:p>
    <w:p>
      <w:pPr>
        <w:ind w:firstLine="0"/>
        <w:jc w:val="center"/>
      </w:pPr>
      <w:r>
        <w:rPr>
          <w:rFonts w:ascii="Times New Roman" w:hAnsi="Times New Roman" w:cs="Times New Roman" w:eastAsia="Times New Roman"/>
          <w:b w:val="0"/>
          <w:i w:val="0"/>
          <w:color w:val="000000"/>
          <w:sz w:val="26"/>
        </w:rPr>
        <w:t>Дата: 31.07.2026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Переименование базы данных</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Очистка накопленных данных</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59</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9.7.</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9.6.</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232"/>
        <w:gridCol w:w="1418"/>
        <w:gridCol w:w="4706"/>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6.3</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2385"/>
        <w:gridCol w:w="3994"/>
        <w:gridCol w:w="2977"/>
      </w:tblGrid>
      <w:tr>
        <w:trPr>
          <w:tblHeader w:val="true"/>
          <w:cantSplit w:val="true"/>
        </w:trPr>
        <w:tc>
          <w:tcPr>
            <w:tcW w:type="dxa" w:w="23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39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3994"/>
          </w:tcPr>
          <w:p>
            <w:pPr>
              <w:spacing w:line="240" w:lineRule="auto" w:after="0"/>
              <w:ind w:firstLine="0"/>
              <w:jc w:val="left"/>
            </w:pPr>
            <w:r>
              <w:rPr>
                <w:rFonts w:ascii="Courier New" w:hAnsi="Courier New" w:cs="Courier New" w:eastAsia="Courier New"/>
                <w:b w:val="0"/>
                <w:i w:val="0"/>
                <w:color w:val="000000"/>
                <w:sz w:val="20"/>
              </w:rPr>
              <w:t>debug</w:t>
            </w:r>
          </w:p>
        </w:tc>
        <w:tc>
          <w:tcPr>
            <w:tcW w:type="dxa" w:w="2976"/>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 xml:space="preserve">Разворачивается, доступна по адресу </w:t>
            </w:r>
            <w:r>
              <w:rPr>
                <w:rFonts w:ascii="Courier New" w:hAnsi="Courier New" w:cs="Courier New" w:eastAsia="Courier New"/>
                <w:b w:val="0"/>
                <w:i w:val="0"/>
                <w:color w:val="000000"/>
                <w:sz w:val="20"/>
              </w:rPr>
              <w:t>/pgadmin/</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981"/>
        <w:gridCol w:w="6375"/>
      </w:tblGrid>
      <w:tr>
        <w:trPr>
          <w:tblHeader w:val="true"/>
          <w:cantSplit w:val="true"/>
        </w:trPr>
        <w:tc>
          <w:tcPr>
            <w:tcW w:type="dxa" w:w="298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74"/>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deploy-cleanup</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и прочитанные уведомления.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по умолчанию и там, и там 30 суток. Менять их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Оба параметра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041"/>
        <w:gridCol w:w="4315"/>
      </w:tblGrid>
      <w:tr>
        <w:trPr>
          <w:tblHeader w:val="true"/>
          <w:cantSplit w:val="true"/>
        </w:trPr>
        <w:tc>
          <w:tcPr>
            <w:tcW w:type="dxa" w:w="504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31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040"/>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314"/>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040"/>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314"/>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10.2</w:t>
      </w:r>
    </w:p>
    <w:tbl>
      <w:tblPr>
        <w:tblStyle w:val="TableGrid"/>
        <w:tblW w:type="auto" w:w="0"/>
        <w:jc w:val="center"/>
        <w:tblLayout w:type="fixed"/>
        <w:tblLook w:firstColumn="1" w:firstRow="1" w:lastColumn="0" w:lastRow="0" w:noHBand="0" w:noVBand="1" w:val="04A0"/>
        <w:tblLayout w:type="fixed"/>
      </w:tblPr>
      <w:tblGrid>
        <w:gridCol w:w="5321"/>
        <w:gridCol w:w="4035"/>
      </w:tblGrid>
      <w:tr>
        <w:trPr>
          <w:tblHeader w:val="true"/>
          <w:cantSplit w:val="true"/>
        </w:trPr>
        <w:tc>
          <w:tcPr>
            <w:tcW w:type="dxa" w:w="53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20"/>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34"/>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20"/>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34"/>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20"/>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34"/>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20"/>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34"/>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20"/>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34"/>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Унесите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с сервера в хранилище секретов организации и удалите с сервера. Без него зашифрованные копии не восстановить, а рядом с копиями он лишает шифрование смысла.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BACKUP_AGE_RECIPIENT=age1...</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71"/>
        <w:gridCol w:w="5485"/>
      </w:tblGrid>
      <w:tr>
        <w:trPr>
          <w:tblHeader w:val="true"/>
          <w:cantSplit w:val="true"/>
        </w:trPr>
        <w:tc>
          <w:tcPr>
            <w:tcW w:type="dxa" w:w="38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54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870"/>
          </w:tcPr>
          <w:p>
            <w:pPr>
              <w:spacing w:line="240" w:lineRule="auto" w:after="0"/>
              <w:ind w:firstLine="0"/>
              <w:jc w:val="left"/>
            </w:pPr>
            <w:r>
              <w:rPr>
                <w:rFonts w:ascii="Times New Roman" w:hAnsi="Times New Roman" w:cs="Times New Roman" w:eastAsia="Times New Roman"/>
                <w:b w:val="0"/>
                <w:i w:val="0"/>
                <w:color w:val="000000"/>
                <w:sz w:val="24"/>
              </w:rPr>
              <w:t>Свежесть и объём копий</w:t>
            </w:r>
          </w:p>
        </w:tc>
        <w:tc>
          <w:tcPr>
            <w:tcW w:type="dxa" w:w="5484"/>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70"/>
          </w:tcPr>
          <w:p>
            <w:pPr>
              <w:spacing w:line="240" w:lineRule="auto" w:after="0"/>
              <w:ind w:firstLine="0"/>
              <w:jc w:val="left"/>
            </w:pPr>
            <w:r>
              <w:rPr>
                <w:rFonts w:ascii="Times New Roman" w:hAnsi="Times New Roman" w:cs="Times New Roman" w:eastAsia="Times New Roman"/>
                <w:b w:val="0"/>
                <w:i w:val="0"/>
                <w:color w:val="000000"/>
                <w:sz w:val="24"/>
              </w:rPr>
              <w:t>Журнал копирования</w:t>
            </w:r>
          </w:p>
        </w:tc>
        <w:tc>
          <w:tcPr>
            <w:tcW w:type="dxa" w:w="5484"/>
          </w:tcPr>
          <w:p>
            <w:pPr>
              <w:spacing w:line="240" w:lineRule="auto" w:after="0"/>
              <w:ind w:firstLine="0"/>
              <w:jc w:val="left"/>
            </w:pPr>
            <w:r>
              <w:rPr>
                <w:rFonts w:ascii="Courier New" w:hAnsi="Courier New" w:cs="Courier New" w:eastAsia="Courier New"/>
                <w:b w:val="0"/>
                <w:i w:val="0"/>
                <w:color w:val="000000"/>
                <w:sz w:val="20"/>
              </w:rPr>
              <w:t>${BACKUP_DIR}/backup.log</w:t>
            </w:r>
          </w:p>
        </w:tc>
      </w:tr>
      <w:tr>
        <w:trPr>
          <w:cantSplit w:val="true"/>
        </w:trPr>
        <w:tc>
          <w:tcPr>
            <w:tcW w:type="dxa" w:w="3870"/>
          </w:tcPr>
          <w:p>
            <w:pPr>
              <w:spacing w:line="240" w:lineRule="auto" w:after="0"/>
              <w:ind w:firstLine="0"/>
              <w:jc w:val="left"/>
            </w:pPr>
            <w:r>
              <w:rPr>
                <w:rFonts w:ascii="Times New Roman" w:hAnsi="Times New Roman" w:cs="Times New Roman" w:eastAsia="Times New Roman"/>
                <w:b w:val="0"/>
                <w:i w:val="0"/>
                <w:color w:val="000000"/>
                <w:sz w:val="24"/>
              </w:rPr>
              <w:t>Последний запуск по расписанию</w:t>
            </w:r>
          </w:p>
        </w:tc>
        <w:tc>
          <w:tcPr>
            <w:tcW w:type="dxa" w:w="5484"/>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70"/>
          </w:tcPr>
          <w:p>
            <w:pPr>
              <w:spacing w:line="240" w:lineRule="auto" w:after="0"/>
              <w:ind w:firstLine="0"/>
              <w:jc w:val="left"/>
            </w:pPr>
            <w:r>
              <w:rPr>
                <w:rFonts w:ascii="Times New Roman" w:hAnsi="Times New Roman" w:cs="Times New Roman" w:eastAsia="Times New Roman"/>
                <w:b w:val="0"/>
                <w:i w:val="0"/>
                <w:color w:val="000000"/>
                <w:sz w:val="24"/>
              </w:rPr>
              <w:t>Ближайшие запуски</w:t>
            </w:r>
          </w:p>
        </w:tc>
        <w:tc>
          <w:tcPr>
            <w:tcW w:type="dxa" w:w="5484"/>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отдельной строкой.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AGE_IDENTITY=/путь/к/buro-backup.key \</w:t>
      </w:r>
      <w:r>
        <w:br/>
      </w:r>
      <w:r>
        <w:rPr>
          <w:rFonts w:ascii="Courier New" w:hAnsi="Courier New" w:cs="Courier New" w:eastAsia="Courier New"/>
          <w:b w:val="0"/>
          <w:i w:val="0"/>
          <w:color w:val="000000"/>
          <w:sz w:val="20"/>
        </w:rPr>
        <w:t xml:space="preserve">  make deploy-restore ARGS="/var/backups/systemburo/daily/buro-db-2026-07-31-0330.dump.age"</w:t>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/var/backups/systemburo/daily/buro-db-2026-07-31-0330.dump.age \</w:t>
      </w:r>
      <w:r>
        <w:br/>
      </w:r>
      <w:r>
        <w:rPr>
          <w:rFonts w:ascii="Courier New" w:hAnsi="Courier New" w:cs="Courier New" w:eastAsia="Courier New"/>
          <w:b w:val="0"/>
          <w:i w:val="0"/>
          <w:color w:val="000000"/>
          <w:sz w:val="20"/>
        </w:rPr>
        <w:t xml:space="preserve">  /var/backups/systemburo/daily/buro-uploads-2026-07-28-0330.tar.gz.age</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876"/>
        <w:gridCol w:w="1921"/>
        <w:gridCol w:w="4558"/>
      </w:tblGrid>
      <w:tr>
        <w:trPr>
          <w:tblHeader w:val="true"/>
          <w:cantSplit w:val="true"/>
        </w:trPr>
        <w:tc>
          <w:tcPr>
            <w:tcW w:type="dxa" w:w="28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19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9.7.</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369"/>
        <w:gridCol w:w="3232"/>
        <w:gridCol w:w="3755"/>
      </w:tblGrid>
      <w:tr>
        <w:trPr>
          <w:tblHeader w:val="true"/>
          <w:cantSplit w:val="true"/>
        </w:trPr>
        <w:tc>
          <w:tcPr>
            <w:tcW w:type="dxa" w:w="23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7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754"/>
          </w:tcPr>
          <w:p>
            <w:pPr>
              <w:spacing w:line="240" w:lineRule="auto" w:after="0"/>
              <w:ind w:firstLine="0"/>
              <w:jc w:val="left"/>
            </w:pPr>
            <w:r>
              <w:rPr>
                <w:rFonts w:ascii="Courier New" w:hAnsi="Courier New" w:cs="Courier New" w:eastAsia="Courier New"/>
                <w:b w:val="0"/>
                <w:i w:val="0"/>
                <w:color w:val="000000"/>
                <w:sz w:val="20"/>
              </w:rPr>
              <w:t>docker system prune -a --filter "until=168h"</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9.7</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для адреса потока событий буферизация отключена и увеличен предельный срок ожидания.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221"/>
        <w:gridCol w:w="2287"/>
        <w:gridCol w:w="4847"/>
      </w:tblGrid>
      <w:tr>
        <w:trPr>
          <w:tblHeader w:val="true"/>
          <w:cantSplit w:val="true"/>
        </w:trPr>
        <w:tc>
          <w:tcPr>
            <w:tcW w:type="dxa" w:w="22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8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221"/>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87"/>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847"/>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221"/>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87"/>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847"/>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221"/>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87"/>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847"/>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221"/>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8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847"/>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221"/>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87"/>
          </w:tcPr>
          <w:p>
            <w:pPr>
              <w:spacing w:line="240" w:lineRule="auto" w:after="0"/>
              <w:ind w:firstLine="0"/>
              <w:jc w:val="left"/>
            </w:pPr>
            <w:r>
              <w:rPr>
                <w:rFonts w:ascii="Courier New" w:hAnsi="Courier New" w:cs="Courier New" w:eastAsia="Courier New"/>
                <w:b w:val="0"/>
                <w:i w:val="0"/>
                <w:color w:val="000000"/>
                <w:sz w:val="20"/>
              </w:rPr>
              <w:t>0.0.0.0</w:t>
            </w:r>
          </w:p>
        </w:tc>
        <w:tc>
          <w:tcPr>
            <w:tcW w:type="dxa" w:w="4847"/>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Б.1</w:t>
      </w:r>
    </w:p>
    <w:tbl>
      <w:tblPr>
        <w:tblStyle w:val="TableGrid"/>
        <w:tblW w:type="auto" w:w="0"/>
        <w:jc w:val="center"/>
        <w:tblLayout w:type="fixed"/>
        <w:tblLook w:firstColumn="1" w:firstRow="1" w:lastColumn="0" w:lastRow="0" w:noHBand="0" w:noVBand="1" w:val="04A0"/>
        <w:tblLayout w:type="fixed"/>
      </w:tblPr>
      <w:tblGrid>
        <w:gridCol w:w="2495"/>
        <w:gridCol w:w="1559"/>
        <w:gridCol w:w="530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53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1559"/>
          </w:tcPr>
          <w:p>
            <w:pPr>
              <w:spacing w:line="240" w:lineRule="auto" w:after="0"/>
              <w:ind w:firstLine="0"/>
              <w:jc w:val="left"/>
            </w:pPr>
            <w:r>
              <w:rPr>
                <w:rFonts w:ascii="Courier New" w:hAnsi="Courier New" w:cs="Courier New" w:eastAsia="Courier New"/>
                <w:b w:val="0"/>
                <w:i w:val="0"/>
                <w:color w:val="000000"/>
                <w:sz w:val="20"/>
              </w:rPr>
              <w:t>8090</w:t>
            </w:r>
          </w:p>
        </w:tc>
        <w:tc>
          <w:tcPr>
            <w:tcW w:type="dxa" w:w="5301"/>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1559"/>
          </w:tcPr>
          <w:p>
            <w:pPr>
              <w:spacing w:line="240" w:lineRule="auto" w:after="0"/>
              <w:ind w:firstLine="0"/>
              <w:jc w:val="left"/>
            </w:pPr>
            <w:r>
              <w:rPr>
                <w:rFonts w:ascii="Courier New" w:hAnsi="Courier New" w:cs="Courier New" w:eastAsia="Courier New"/>
                <w:b w:val="0"/>
                <w:i w:val="0"/>
                <w:color w:val="000000"/>
                <w:sz w:val="20"/>
              </w:rPr>
              <w:t>info</w:t>
            </w:r>
          </w:p>
        </w:tc>
        <w:tc>
          <w:tcPr>
            <w:tcW w:type="dxa" w:w="5301"/>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530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598"/>
        <w:gridCol w:w="1594"/>
        <w:gridCol w:w="4163"/>
      </w:tblGrid>
      <w:tr>
        <w:trPr>
          <w:tblHeader w:val="true"/>
          <w:cantSplit w:val="true"/>
        </w:trPr>
        <w:tc>
          <w:tcPr>
            <w:tcW w:type="dxa" w:w="35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1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98"/>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1594"/>
          </w:tcPr>
          <w:p>
            <w:pPr>
              <w:spacing w:line="240" w:lineRule="auto" w:after="0"/>
              <w:ind w:firstLine="0"/>
              <w:jc w:val="left"/>
            </w:pPr>
            <w:r>
              <w:rPr>
                <w:rFonts w:ascii="Courier New" w:hAnsi="Courier New" w:cs="Courier New" w:eastAsia="Courier New"/>
                <w:b w:val="0"/>
                <w:i w:val="0"/>
                <w:color w:val="000000"/>
                <w:sz w:val="20"/>
              </w:rPr>
              <w:t>200</w:t>
            </w:r>
          </w:p>
        </w:tc>
        <w:tc>
          <w:tcPr>
            <w:tcW w:type="dxa" w:w="4163"/>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598"/>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1594"/>
          </w:tcPr>
          <w:p>
            <w:pPr>
              <w:spacing w:line="240" w:lineRule="auto" w:after="0"/>
              <w:ind w:firstLine="0"/>
              <w:jc w:val="left"/>
            </w:pPr>
            <w:r>
              <w:rPr>
                <w:rFonts w:ascii="Courier New" w:hAnsi="Courier New" w:cs="Courier New" w:eastAsia="Courier New"/>
                <w:b w:val="0"/>
                <w:i w:val="0"/>
                <w:color w:val="000000"/>
                <w:sz w:val="20"/>
              </w:rPr>
              <w:t>60</w:t>
            </w:r>
          </w:p>
        </w:tc>
        <w:tc>
          <w:tcPr>
            <w:tcW w:type="dxa" w:w="4163"/>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Б.4</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Б.5</w:t>
      </w:r>
    </w:p>
    <w:tbl>
      <w:tblPr>
        <w:tblStyle w:val="TableGrid"/>
        <w:tblW w:type="auto" w:w="0"/>
        <w:jc w:val="center"/>
        <w:tblLayout w:type="fixed"/>
        <w:tblLook w:firstColumn="1" w:firstRow="1" w:lastColumn="0" w:lastRow="0" w:noHBand="0" w:noVBand="1" w:val="04A0"/>
        <w:tblLayout w:type="fixed"/>
      </w:tblPr>
      <w:tblGrid>
        <w:gridCol w:w="4264"/>
        <w:gridCol w:w="1559"/>
        <w:gridCol w:w="353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5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59"/>
          </w:tcPr>
          <w:p>
            <w:pPr>
              <w:spacing w:line="240" w:lineRule="auto" w:after="0"/>
              <w:ind w:firstLine="0"/>
              <w:jc w:val="left"/>
            </w:pPr>
            <w:r>
              <w:rPr>
                <w:rFonts w:ascii="Courier New" w:hAnsi="Courier New" w:cs="Courier New" w:eastAsia="Courier New"/>
                <w:b w:val="0"/>
                <w:i w:val="0"/>
                <w:color w:val="000000"/>
                <w:sz w:val="20"/>
              </w:rPr>
              <w:t>60</w:t>
            </w:r>
          </w:p>
        </w:tc>
        <w:tc>
          <w:tcPr>
            <w:tcW w:type="dxa" w:w="3532"/>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674"/>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пусто - копии не шифруются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674"/>
          </w:tcPr>
          <w:p>
            <w:pPr>
              <w:spacing w:line="240" w:lineRule="auto" w:after="0"/>
              <w:ind w:firstLine="0"/>
              <w:jc w:val="left"/>
            </w:pPr>
            <w:r>
              <w:rPr>
                <w:rFonts w:ascii="Courier New" w:hAnsi="Courier New" w:cs="Courier New" w:eastAsia="Courier New"/>
                <w:b w:val="0"/>
                <w:i w:val="0"/>
                <w:color w:val="000000"/>
                <w:sz w:val="20"/>
              </w:rPr>
              <w:t>7</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674"/>
          </w:tcPr>
          <w:p>
            <w:pPr>
              <w:spacing w:line="240" w:lineRule="auto" w:after="0"/>
              <w:ind w:firstLine="0"/>
              <w:jc w:val="left"/>
            </w:pPr>
            <w:r>
              <w:rPr>
                <w:rFonts w:ascii="Courier New" w:hAnsi="Courier New" w:cs="Courier New" w:eastAsia="Courier New"/>
                <w:b w:val="0"/>
                <w:i w:val="0"/>
                <w:color w:val="000000"/>
                <w:sz w:val="20"/>
              </w:rPr>
              <w:t>4</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674"/>
          </w:tcPr>
          <w:p>
            <w:pPr>
              <w:spacing w:line="240" w:lineRule="auto" w:after="0"/>
              <w:ind w:firstLine="0"/>
              <w:jc w:val="left"/>
            </w:pPr>
            <w:r>
              <w:rPr>
                <w:rFonts w:ascii="Courier New" w:hAnsi="Courier New" w:cs="Courier New" w:eastAsia="Courier New"/>
                <w:b w:val="0"/>
                <w:i w:val="0"/>
                <w:color w:val="000000"/>
                <w:sz w:val="20"/>
              </w:rPr>
              <w:t>6</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674"/>
          </w:tcPr>
          <w:p>
            <w:pPr>
              <w:spacing w:line="240" w:lineRule="auto" w:after="0"/>
              <w:ind w:firstLine="0"/>
              <w:jc w:val="left"/>
            </w:pPr>
            <w:r>
              <w:rPr>
                <w:rFonts w:ascii="Courier New" w:hAnsi="Courier New" w:cs="Courier New" w:eastAsia="Courier New"/>
                <w:b w:val="0"/>
                <w:i w:val="0"/>
                <w:color w:val="000000"/>
                <w:sz w:val="20"/>
              </w:rPr>
              <w:t>weekly</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поведение поиска, требования к версии Docker Compose, порядок развёртывания стенда и снятия показателей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объявляемые сроки и контакты, снятие режима по истечении срока,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 в карточке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вопрос о повторном запросе согласия при сохранении изменённого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команда очистки накопленных данных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работником и администратором, запись выдачи и отзыва в историю учётной записи; уточнён состав сквозного поиска;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распознавание опечаток работает при поиске внутри раздела, а сквозной поиск ищет по фрагменту строки и понимает неверную раскладку и написание госномера;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 а не только фамилия, имя и отчество;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 исправлена команда проверки выгрузки</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