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руководители подразделений, специалисты по информационным технологиям, специалисты по защите информации</w:t>
      </w:r>
    </w:p>
    <w:p>
      <w:pPr>
        <w:ind w:firstLine="0"/>
      </w:pPr>
    </w:p>
    <w:p>
      <w:pPr>
        <w:ind w:firstLine="0"/>
        <w:jc w:val="center"/>
      </w:pPr>
      <w:r>
        <w:rPr>
          <w:rFonts w:ascii="Times New Roman" w:hAnsi="Times New Roman" w:cs="Times New Roman" w:eastAsia="Times New Roman"/>
          <w:b w:val="0"/>
          <w:i w:val="0"/>
          <w:color w:val="000000"/>
          <w:sz w:val="26"/>
        </w:rPr>
        <w:t>Версия документа: 1.28</w:t>
      </w:r>
    </w:p>
    <w:p>
      <w:pPr>
        <w:ind w:firstLine="0"/>
        <w:jc w:val="center"/>
      </w:pPr>
      <w:r>
        <w:rPr>
          <w:rFonts w:ascii="Times New Roman" w:hAnsi="Times New Roman" w:cs="Times New Roman" w:eastAsia="Times New Roman"/>
          <w:b w:val="0"/>
          <w:i w:val="0"/>
          <w:color w:val="000000"/>
          <w:sz w:val="26"/>
        </w:rPr>
        <w:t>Дата: 05.08.2026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Обучающий тур</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359"/>
        <w:gridCol w:w="2674"/>
        <w:gridCol w:w="4322"/>
      </w:tblGrid>
      <w:tr>
        <w:trPr>
          <w:tblHeader w:val="true"/>
          <w:cantSplit w:val="true"/>
        </w:trPr>
        <w:tc>
          <w:tcPr>
            <w:tcW w:type="dxa" w:w="23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3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Подача заявок, работа с личным кабинетом</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Пользователи, права, справочники, таблицы постов, аудит</w:t>
            </w:r>
          </w:p>
        </w:tc>
      </w:tr>
      <w:tr>
        <w:trPr>
          <w:cantSplit w:val="true"/>
        </w:trPr>
        <w:tc>
          <w:tcPr>
            <w:tcW w:type="dxa" w:w="2359"/>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674"/>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322"/>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3.1</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53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только её автору, и наличие права на чужую заявку не распространяется.</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200"/>
            <wp:docPr id="1" name="Picture 1"/>
            <wp:cNvGraphicFramePr>
              <a:graphicFrameLocks noChangeAspect="1"/>
            </wp:cNvGraphicFramePr>
            <a:graphic>
              <a:graphicData uri="http://schemas.openxmlformats.org/drawingml/2006/picture">
                <pic:pic>
                  <pic:nvPicPr>
                    <pic:cNvPr id="0" name="lifecycle.png"/>
                    <pic:cNvPicPr/>
                  </pic:nvPicPr>
                  <pic:blipFill>
                    <a:blip r:embed="rId10"/>
                    <a:stretch>
                      <a:fillRect/>
                    </a:stretch>
                  </pic:blipFill>
                  <pic:spPr>
                    <a:xfrm>
                      <a:off x="0" y="0"/>
                      <a:ext cx="5940000" cy="34452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включаются администратором в настройках; по умолчанию первое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Пока дополнение не принято, добавленных строк на постах нет: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согласующего, отказ принимающего и снятие добавки самим заявителем закрывают её окончательно, добавленные строки так и остаются недопущенными.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Уведомления о событиях по заявкам, доставляются без обновления страницы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6.1</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Обучающий тур</w:t>
      </w:r>
    </w:p>
    <w:p>
      <w:r>
        <w:rPr>
          <w:rFonts w:ascii="Times New Roman" w:hAnsi="Times New Roman" w:cs="Times New Roman" w:eastAsia="Times New Roman"/>
          <w:b w:val="0"/>
          <w:i w:val="0"/>
          <w:color w:val="000000"/>
          <w:sz w:val="28"/>
        </w:rPr>
        <w:t>При первом входе запускается пошаговый тур: система последовательно подсвечивает элементы интерфейса и объясняет их назначение. Тур учитывает тип учётной записи: работнику поста показываются шаги про таблицы и отметку въезда и выезда, а не про подачу заявки.</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сбросить отметку о прохождении конкретному работнику, например при переводе на другую должность.</w:t>
      </w:r>
    </w:p>
    <w:p>
      <w:r>
        <w:rPr>
          <w:rFonts w:ascii="Times New Roman" w:hAnsi="Times New Roman" w:cs="Times New Roman" w:eastAsia="Times New Roman"/>
          <w:b w:val="0"/>
          <w:i w:val="0"/>
          <w:color w:val="000000"/>
          <w:sz w:val="28"/>
        </w:rPr>
        <w:t>Тур версионируется: после существенного изменения интерфейса работникам показываются новые шаги, а не пройденный ранее старый вариант.</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16"/>
        <w:gridCol w:w="2126"/>
        <w:gridCol w:w="5014"/>
      </w:tblGrid>
      <w:tr>
        <w:trPr>
          <w:tblHeader w:val="true"/>
          <w:cantSplit w:val="true"/>
        </w:trPr>
        <w:tc>
          <w:tcPr>
            <w:tcW w:type="dxa" w:w="22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50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и прочитанные уведомления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216"/>
        <w:gridCol w:w="2126"/>
        <w:gridCol w:w="5014"/>
      </w:tblGrid>
      <w:tr>
        <w:trPr>
          <w:tblHeader w:val="true"/>
          <w:cantSplit w:val="true"/>
        </w:trPr>
        <w:tc>
          <w:tcPr>
            <w:tcW w:type="dxa" w:w="22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501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15"/>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5013"/>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98 таблиц: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пустой признак либо принятая добавка означают допуск, всё прочее означает, что решение ещё не принято или принято не в пользу добавки.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прочитанные уведомления, сроки задаются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485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Шифрование действует в базе. В бланках, которые система выкладывает в файловый архив, и в машиночитаемом слепке заявки те же сведения записаны открытым текстом: файл предназначен для открытия вне системы, и зашифрованный он этой задачи не решал бы. Из этого следует требование к каталогу архива: он защищается наравне с базой - права на чтение только у прикладного сервера и у тех, кому папка отдана в сетевой доступ, каталог не может находиться внутри общедоступных каталогов системы, и прикладной сервер это проверяет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и оценка объёма выгрузки.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1 562 теста в 267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3 329 тестов в 376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 тестов в 44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5 059</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Стенд закрыт запросом имени и пароля на входе и содержит отдельную базу, поэтому эксперименты на нём не затрагивают рабочие данные.</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4"/>
        <w:gridCol w:w="5451"/>
      </w:tblGrid>
      <w:tr>
        <w:trPr>
          <w:tblHeader w:val="true"/>
          <w:cantSplit w:val="true"/>
        </w:trPr>
        <w:tc>
          <w:tcPr>
            <w:tcW w:type="dxa" w:w="39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392 522 строки в 1 390 файлах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81 074 строки без тестов: 157 служб, 68 обработчиков, 75 моделей данных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183 932 строки: 38 экранов, 204 элемента</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485 в 39 группах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98</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5 059</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191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