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160" w:after="16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СИСТЕМА ЭЛЕКТРОННОЙ ПОДАЧИ ЗАЯВОК «БЮРО ПРОПУСКОВ»</w:t>
            </w:r>
          </w:p>
        </w:tc>
      </w:tr>
    </w:tbl>
    <w:p>
      <w:pPr>
        <w:ind w:firstLine="0"/>
      </w:pPr>
    </w:p>
    <w:p>
      <w:pPr>
        <w:ind w:firstLine="0"/>
        <w:jc w:val="right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КОНФИДЕНЦИАЛЬНО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КРИТЕРИИ УСПЕШНОГО ЗАВЕРШЕНИЯ ПИЛОТНОГО ПЕРИОДА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Условия проведения, проверяемые сценарии и порядок приёмки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Версия документа: 1.9</w:t>
      </w: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Дата: 14.10.2026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УСЛОВИЯ ИСПОЛЬЗОВАНИЯ ДОКУМЕНТА</w:t>
      </w:r>
    </w:p>
    <w:p>
      <w:pPr>
        <w:spacing w:line="276" w:lineRule="auto" w:after="20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Правообладатель: Правообладатель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1. Правообладатель.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Исключительное право на настоящий документ и на описанную в нём систему, включая её исходный код и интерфейсы, принадлежит правообладателю. Передача документа не влечёт перехода к Получателю прав на систему или её составные части.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2. Передача третьим лицам.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Документ, его части и производные материалы - копии, выдержки, переводы, презентации, снимки экрана - не передаются третьим лицам без согласия правообладателя. Внутри организации Получателя документ доводится до работников, которым он необходим для работы с системой.</w:t>
      </w:r>
    </w:p>
    <w:p>
      <w:pPr>
        <w:spacing w:after="60" w:line="276" w:lineRule="auto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 xml:space="preserve">3. Отсутствие лицензии.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Документ описывает систему и не является офертой или лицензией на её использование. Право использования системы возникает на основании отдельного договора с правообладателем.</w:t>
      </w:r>
    </w:p>
    <w:p>
      <w:pPr>
        <w:spacing w:line="276" w:lineRule="auto" w:before="16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595959"/>
          <w:sz w:val="24"/>
        </w:rPr>
        <w:t>© 2026 Правообладатель. Все права защищены.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Назначение документа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4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Уровни замечаний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Критерии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3.1. Основной процесс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5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3.2. Работа постов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3.3. Ведение системы силами организации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3.4. Данные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3.5. Пригодность к работе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6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3.6. Дополнительные сценарии актуального выпуска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Показатели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4.1. Скорость обработки заявок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7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4.2. Работа системы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8</w:t>
      </w:r>
    </w:p>
    <w:p>
      <w:pPr>
        <w:tabs>
          <w:tab w:pos="9354" w:val="right" w:leader="dot"/>
        </w:tabs>
        <w:spacing w:after="0" w:line="36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4.3. Объём работы за период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9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Защита информации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10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Эксплуатация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Условия завершения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11</w:t>
      </w:r>
    </w:p>
    <w:p>
      <w:pPr>
        <w:tabs>
          <w:tab w:pos="9354" w:val="right" w:leader="dot"/>
        </w:tabs>
        <w:spacing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Результат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ab/>
        <w:t>12</w:t>
      </w:r>
    </w:p>
    <w:p>
      <w:pPr>
        <w:pStyle w:val="Heading1"/>
        <w:pageBreakBefore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Назначение документа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Документ содержит критерии, по которым оценивается результат пилотной эксплуатации системы электронной подачи заявок «Бюро пропусков».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Критерии сформулированы как способности системы, а не как отдельные действия в интерфейсе. Это сделано намеренно: проверка вида «заявка на лицо из чёрного списка отклоняется» зависит от того, ведётся ли чёрный список вообще, и в конкретной организации может оказаться неприменимой. Критерий выполнен, если соответствующая работа велась в системе штатными средствами и её результат совпал с ожидаемым.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Сроки проведения, состав участников и порядок работы с замечаниями определяются отдельно.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1.1 — Сроки проведения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8"/>
        <w:gridCol w:w="4678"/>
      </w:tblGrid>
      <w:tr>
        <w:trPr>
          <w:tblHeader w:val="true"/>
          <w:cantSplit w:val="true"/>
        </w:trPr>
        <w:tc>
          <w:tcPr>
            <w:tcW w:type="dxa" w:w="467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 начала</w:t>
            </w:r>
          </w:p>
        </w:tc>
        <w:tc>
          <w:tcPr>
            <w:tcW w:type="dxa" w:w="467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 окончания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4677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4677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1.2 — Участвующие посты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tblHeader w:val="true"/>
          <w:cantSplit w:val="true"/>
        </w:trPr>
        <w:tc>
          <w:tcPr>
            <w:tcW w:type="dxa" w:w="935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Наименования постов</w:t>
            </w:r>
          </w:p>
        </w:tc>
      </w:tr>
      <w:tr>
        <w:trPr>
          <w:cantSplit w:val="true"/>
          <w:trHeight w:val="1474" w:hRule="atLeast"/>
        </w:trPr>
        <w:tc>
          <w:tcPr>
            <w:tcW w:type="dxa" w:w="9354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1.3 — Участвующие подразделения и организации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tblHeader w:val="true"/>
          <w:cantSplit w:val="true"/>
        </w:trPr>
        <w:tc>
          <w:tcPr>
            <w:tcW w:type="dxa" w:w="935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Наименования подразделений и организаций</w:t>
            </w:r>
          </w:p>
        </w:tc>
      </w:tr>
      <w:tr>
        <w:trPr>
          <w:cantSplit w:val="true"/>
          <w:trHeight w:val="1474" w:hRule="atLeast"/>
        </w:trPr>
        <w:tc>
          <w:tcPr>
            <w:tcW w:type="dxa" w:w="9354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1.4 — Ответственные за проведение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tblHeader w:val="true"/>
          <w:cantSplit w:val="true"/>
        </w:trPr>
        <w:tc>
          <w:tcPr>
            <w:tcW w:type="dxa" w:w="935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Должность, фамилия, контакты</w:t>
            </w:r>
          </w:p>
        </w:tc>
      </w:tr>
      <w:tr>
        <w:trPr>
          <w:cantSplit w:val="true"/>
          <w:trHeight w:val="1474" w:hRule="atLeast"/>
        </w:trPr>
        <w:tc>
          <w:tcPr>
            <w:tcW w:type="dxa" w:w="935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1474" w:hRule="atLeast"/>
        </w:trPr>
        <w:tc>
          <w:tcPr>
            <w:tcW w:type="dxa" w:w="9354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Уровни замечаний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2.1 — Уровни замечаний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4"/>
        <w:gridCol w:w="2833"/>
      </w:tblGrid>
      <w:tr>
        <w:trPr>
          <w:tblHeader w:val="true"/>
          <w:cantSplit w:val="true"/>
        </w:trPr>
        <w:tc>
          <w:tcPr>
            <w:tcW w:type="dxa" w:w="226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Уровень</w:t>
            </w:r>
          </w:p>
        </w:tc>
        <w:tc>
          <w:tcPr>
            <w:tcW w:type="dxa" w:w="425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type="dxa" w:w="283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Влияние на решение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Блокирующий</w:t>
            </w:r>
          </w:p>
        </w:tc>
        <w:tc>
          <w:tcPr>
            <w:tcW w:type="dxa" w:w="425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 невозможна, обходного пути нет</w:t>
            </w:r>
          </w:p>
        </w:tc>
        <w:tc>
          <w:tcPr>
            <w:tcW w:type="dxa" w:w="283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допускает завершения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Критический</w:t>
            </w:r>
          </w:p>
        </w:tc>
        <w:tc>
          <w:tcPr>
            <w:tcW w:type="dxa" w:w="425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Ключевая функция не работает, обходной путь несоразмерно трудоёмок</w:t>
            </w:r>
          </w:p>
        </w:tc>
        <w:tc>
          <w:tcPr>
            <w:tcW w:type="dxa" w:w="283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допускает завершения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Значительный</w:t>
            </w:r>
          </w:p>
        </w:tc>
        <w:tc>
          <w:tcPr>
            <w:tcW w:type="dxa" w:w="425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Функция работает неверно, обходной путь приемлем</w:t>
            </w:r>
          </w:p>
        </w:tc>
        <w:tc>
          <w:tcPr>
            <w:tcW w:type="dxa" w:w="283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Допускается при согласованном сроке устранения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Незначительный</w:t>
            </w:r>
          </w:p>
        </w:tc>
        <w:tc>
          <w:tcPr>
            <w:tcW w:type="dxa" w:w="425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влияет на результат работы</w:t>
            </w:r>
          </w:p>
        </w:tc>
        <w:tc>
          <w:tcPr>
            <w:tcW w:type="dxa" w:w="283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влияет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Критерии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Основной процесс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3.1 — Критерии по основному процессу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"/>
        <w:gridCol w:w="7618"/>
        <w:gridCol w:w="1312"/>
      </w:tblGrid>
      <w:tr>
        <w:trPr>
          <w:tblHeader w:val="true"/>
          <w:cantSplit w:val="true"/>
        </w:trPr>
        <w:tc>
          <w:tcPr>
            <w:tcW w:type="dxa" w:w="42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61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31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Заявки подаются, обрабатываются и доводятся до итогового решения штатными средствами системы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Оформляются все применяемые в организации виды доступа: люди, транспорт, материальные ценности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Согласование выполняется, решение каждого согласующего фиксируется и доступно для просмотра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Заявитель самостоятельно отслеживает состояние своей заявки и получает результат без обращения в бюро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Взаимодействие по заявке (уточнения, отказ с причиной, отзыв) ведётся в системе, а не вне её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4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761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Печатные формы формируются по загруженным шаблонам и пригодны для использования</w:t>
            </w:r>
          </w:p>
        </w:tc>
        <w:tc>
          <w:tcPr>
            <w:tcW w:type="dxa" w:w="1312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Работа постов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3.2 — Критерии по работе постов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160"/>
        <w:gridCol w:w="1629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15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6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715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Пост видит актуальный перечень допущенных объектов без участия администратора</w:t>
            </w:r>
          </w:p>
        </w:tc>
        <w:tc>
          <w:tcPr>
            <w:tcW w:type="dxa" w:w="162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715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Фактический проход отмечается, состояние обновляется у остальных участников</w:t>
            </w:r>
          </w:p>
        </w:tc>
        <w:tc>
          <w:tcPr>
            <w:tcW w:type="dxa" w:w="162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715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Ограничения доступа, заданные в системе, при проверке на посту соблюдаются</w:t>
            </w:r>
          </w:p>
        </w:tc>
        <w:tc>
          <w:tcPr>
            <w:tcW w:type="dxa" w:w="162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715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Данные за прошедшие сутки остаются доступны после суточного сброса</w:t>
            </w:r>
          </w:p>
        </w:tc>
        <w:tc>
          <w:tcPr>
            <w:tcW w:type="dxa" w:w="1628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Ведение системы силами организации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3.3 — Критерии по ведению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232"/>
        <w:gridCol w:w="1556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23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556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723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Учётные записи и права работников ведутся силами организации, без обращения к разработчику</w:t>
            </w:r>
          </w:p>
        </w:tc>
        <w:tc>
          <w:tcPr>
            <w:tcW w:type="dxa" w:w="1556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723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Справочники и перечни постов ведутся силами организации</w:t>
            </w:r>
          </w:p>
        </w:tc>
        <w:tc>
          <w:tcPr>
            <w:tcW w:type="dxa" w:w="1556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723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Разграничение доступа настраивается под фактическую структуру подразделений</w:t>
            </w:r>
          </w:p>
        </w:tc>
        <w:tc>
          <w:tcPr>
            <w:tcW w:type="dxa" w:w="1556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723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Отчётность и выгрузки формируются в объёме, достаточном для работы</w:t>
            </w:r>
          </w:p>
        </w:tc>
        <w:tc>
          <w:tcPr>
            <w:tcW w:type="dxa" w:w="1556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Данные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3.4 — Критерии по данным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026"/>
        <w:gridCol w:w="1763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02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76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70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Внесённые сведения не теряются и остаются доступны на всём протяжении периода</w:t>
            </w:r>
          </w:p>
        </w:tc>
        <w:tc>
          <w:tcPr>
            <w:tcW w:type="dxa" w:w="1763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70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Нужная запись находится поиском за приемлемое время</w:t>
            </w:r>
          </w:p>
        </w:tc>
        <w:tc>
          <w:tcPr>
            <w:tcW w:type="dxa" w:w="1763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702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История изменений позволяет установить, кто и когда внёс изменение</w:t>
            </w:r>
          </w:p>
        </w:tc>
        <w:tc>
          <w:tcPr>
            <w:tcW w:type="dxa" w:w="1763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3.5. Пригодность к работе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3.5 — Критерии пригодности к работе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305"/>
        <w:gridCol w:w="1483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30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48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73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Работники выполняют свои задачи после ознакомления с руководством, без индивидуального обучения</w:t>
            </w:r>
          </w:p>
        </w:tc>
        <w:tc>
          <w:tcPr>
            <w:tcW w:type="dxa" w:w="1483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73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Система не создаёт дополнительной работы по сравнению с прежним порядком</w:t>
            </w:r>
          </w:p>
        </w:tc>
        <w:tc>
          <w:tcPr>
            <w:tcW w:type="dxa" w:w="1483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73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Обращения работников не носят массового характера и разбираются силами бюро</w:t>
            </w:r>
          </w:p>
        </w:tc>
        <w:tc>
          <w:tcPr>
            <w:tcW w:type="dxa" w:w="1483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3.6. Дополнительные сценарии актуального выпуска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Проверить на синтетических данных, с положительным и отрицательным случаем доступа: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85"/>
        <w:gridCol w:w="6870"/>
      </w:tblGrid>
      <w:tr>
        <w:trPr>
          <w:tblHeader w:val="true"/>
          <w:cantSplit w:val="true"/>
        </w:trPr>
        <w:tc>
          <w:tcPr>
            <w:tcW w:type="dxa" w:w="248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68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Пересылка выбранных вложений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Получатели, назначение и материалы видны в истории; без материалов отправка запрещена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Пересылка отозванной заявки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Только просмотр, без возобновления допуска и назначения согласования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Изменение общего срока в работе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Меняются выбранные вложения; политика индивидуальных сроков выбрана явно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Изменение срока одного человека/машины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Остальные записи и уже поданные голоса не меняются; причина и автор видны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Привязка ручной записи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Переносится выбранная запись, не всё ручное вложение; бессрочная получает явно выбранный срок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Попытка принять просроченную заявку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Отказ даже до очередного фонового изменения статуса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Истечение срока при открытом входе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Выход доступен по правам, новый вход запрещён; после выхода строка видна пять минут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Старые незакрытые отметки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Порог 48 часов, неизвестное время не подменяется датой; исправление с причиной и отдельным правом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Отмена ошибочной последней отметки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Проверяются время, автор/полномочия и отсутствие следующего события; история сохраняет отмену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Карточка из журнала поста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Доступная сохранившаяся запись открывается после истечения допуска без выдачи права на вход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Частичная правка при возражении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Непереданные ПД не дают ложный конфликт; фактическое запрещённое изменение остаётся запрещённым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Оформление и окна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Четыре сочетания стиля/палитры, мгновенная смена; Escape закрывает верхнее окно</w:t>
            </w:r>
          </w:p>
        </w:tc>
      </w:tr>
      <w:tr>
        <w:trPr>
          <w:cantSplit w:val="true"/>
        </w:trPr>
        <w:tc>
          <w:tcPr>
            <w:tcW w:type="dxa" w:w="248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Экспорт и PDF</w:t>
            </w:r>
          </w:p>
        </w:tc>
        <w:tc>
          <w:tcPr>
            <w:tcW w:type="dxa" w:w="68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Файл открывается, русские подписи срока читаемы, доступ и состав не расширяются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критерии приёмки, не утверждение, что весь список уже выполнен на данной площадке. Сохранять ревизию, результат и замечания каждой проверки; не выдавать наличие автоматического теста за ручной проход.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Показатели</w:t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Скорость обработки заявок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Основной ожидаемый результат внедрения. Значения снимаются в разделе аналитики системы, на вкладке обработки заявок, и не требуют ручного подсчёта.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Целевые значения устанавливает организация исходя из прежнего порядка работы: разумный ориентир - обработка не медленнее, чем до внедрения.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4.1 — Скорость обработки заявок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5052"/>
        <w:gridCol w:w="1868"/>
        <w:gridCol w:w="1868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5052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86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Целевое значение</w:t>
            </w:r>
          </w:p>
        </w:tc>
        <w:tc>
          <w:tcPr>
            <w:tcW w:type="dxa" w:w="186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Фактически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50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Среднее время принятия заявки в работу</w:t>
            </w: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50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Среднее время обработки: от подачи до принятия в работу</w:t>
            </w: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50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Среднее время согласования</w:t>
            </w: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5052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отказов от общего числа заявок</w:t>
            </w: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868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Показатель 22 считается по заявкам, принятым в работу; заявки, по которым отказали, в него не входят. Долю отказов показывает отдельный показатель 24.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Длительности рассчитываются с учётом режима работы бюро, заданного в системе. Если режим не заполнен, расчёт ведётся по календарному времени. Перед снятием показателей следует убедиться, что режим работы внесён, иначе значения окажутся завышенными и несопоставимыми с прежним порядком.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Работа системы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Первые два показателя снимаются по журналу запросов, два последних - средствами наблюдения подразделения информационных технологий.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4.2 — Показатели работы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4382"/>
        <w:gridCol w:w="2465"/>
        <w:gridCol w:w="1941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438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465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Допустимое значение</w:t>
            </w:r>
          </w:p>
        </w:tc>
        <w:tc>
          <w:tcPr>
            <w:tcW w:type="dxa" w:w="194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Фактически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4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запросов, завершившихся ошибкой сервера</w:t>
            </w:r>
          </w:p>
        </w:tc>
        <w:tc>
          <w:tcPr>
            <w:tcW w:type="dxa" w:w="246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более 0,5 процента</w:t>
            </w:r>
          </w:p>
        </w:tc>
        <w:tc>
          <w:tcPr>
            <w:tcW w:type="dxa" w:w="19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4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Среднее время ответа системы</w:t>
            </w:r>
          </w:p>
        </w:tc>
        <w:tc>
          <w:tcPr>
            <w:tcW w:type="dxa" w:w="246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более 1 секунды</w:t>
            </w:r>
          </w:p>
        </w:tc>
        <w:tc>
          <w:tcPr>
            <w:tcW w:type="dxa" w:w="19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4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Доступность в часы работы</w:t>
            </w:r>
          </w:p>
        </w:tc>
        <w:tc>
          <w:tcPr>
            <w:tcW w:type="dxa" w:w="246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менее 99 процентов</w:t>
            </w:r>
          </w:p>
        </w:tc>
        <w:tc>
          <w:tcPr>
            <w:tcW w:type="dxa" w:w="19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438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Незапланированные перерывы в работе</w:t>
            </w:r>
          </w:p>
        </w:tc>
        <w:tc>
          <w:tcPr>
            <w:tcW w:type="dxa" w:w="2465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Отсутствуют</w:t>
            </w:r>
          </w:p>
        </w:tc>
        <w:tc>
          <w:tcPr>
            <w:tcW w:type="dxa" w:w="1941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Оба показателя снимаются в разделе «Мониторинг запросов». Долю ошибок считают так: в журнале выбирают границы периода и в списке статусов - «5xx: ошибки сервера», после чего относят полученное число записей к общему числу за тот же период. Готовая доля ошибок на экране для показателя 25 не годится ни в шапке раздела, ни на вкладке аналитики: она считает 4xx наравне с 5xx, то есть отказы по вине самого обращения. Среднее время ответа берут на вкладке «Аналитика · история», где средняя взвешена по числу запросов за выбранный период; медиана и 95-й перцентиль в шапке раздела относятся к последнему часу и для отчёта за период не подходят. Долгоживущие подписки на события в расчёт длительности не входят: у них в журнале записано время жизни соединения, а не время ответа. Выгрузка журнала в электронную таблицу для подсчёта предусмотрена.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2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Объём работы за период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Раздел фиксирует, какая работа фактически прошла через систему. Эти сведения не являются критериями: они показывают, насколько представительна выборка, на которой сделаны выводы. Часть значений снимается готовыми метриками конструктора отчётов, остальные - выгрузкой списка и подсчётом строк, порядок указан в таблице.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4.3 — Объём работы за период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05"/>
        <w:gridCol w:w="4121"/>
        <w:gridCol w:w="1630"/>
      </w:tblGrid>
      <w:tr>
        <w:trPr>
          <w:tblHeader w:val="true"/>
          <w:cantSplit w:val="true"/>
        </w:trPr>
        <w:tc>
          <w:tcPr>
            <w:tcW w:type="dxa" w:w="360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412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Откуда берётся</w:t>
            </w:r>
          </w:p>
        </w:tc>
        <w:tc>
          <w:tcPr>
            <w:tcW w:type="dxa" w:w="163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Подано заявок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Метрика «Количество заявок»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Обработано заявок с итоговым решением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 же метрика с разрезом по статусу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Отклонено заявок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Та же метрика с разрезом по статусу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Оформлено вложений, всего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«Заявки» за период, сумма графы «Вложений»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Заявлено людей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«Люди», число строк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 отмечено проходов людей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Метрика «Входы людей»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Заявлено транспортных средств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Список «Машины», число строк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Фактически отмечено въездов транспорта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Метрика «Въезды машин»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Действующих учётных записей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Панель показателей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360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Организаций и подразделений, подававших заявки</w:t>
            </w:r>
          </w:p>
        </w:tc>
        <w:tc>
          <w:tcPr>
            <w:tcW w:type="dxa" w:w="412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Метрика «Количество заявок» с разрезом по организации</w:t>
            </w:r>
          </w:p>
        </w:tc>
        <w:tc>
          <w:tcPr>
            <w:tcW w:type="dxa" w:w="163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Списки «Люди» и «Машины» отбором по датам не ограничиваются и показывают весь реестр. Если система разворачивалась под пилотную эксплуатацию пустой, это и есть заявленное за период. Иначе показатель снимается сопоставлением с состоянием реестра на начало периода.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4.4 — Заявки по видам вложений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57"/>
        <w:gridCol w:w="3699"/>
      </w:tblGrid>
      <w:tr>
        <w:trPr>
          <w:tblHeader w:val="true"/>
          <w:cantSplit w:val="true"/>
        </w:trPr>
        <w:tc>
          <w:tcPr>
            <w:tcW w:type="dxa" w:w="5656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 вида вложения</w:t>
            </w:r>
          </w:p>
        </w:tc>
        <w:tc>
          <w:tcPr>
            <w:tcW w:type="dxa" w:w="369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Количество заявок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5656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3698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656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3698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656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3698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656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3698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656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3698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Сопоставление заявленного и фактически прошедшего показывает, насколько выданные допуски используются. Значительный разрыв означает, что заявки оформляются с запасом, и это повод пересмотреть порядок подачи, а не признак неисправности системы.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Разбивка по видам вложений делается разрезом метрики «Количество заявок» по типу вложения и показывает число заявок с вложением каждого вида. Перечень видов зависит от того, какие типы заведены в организации, поэтому строки заполняются по факту.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Защита информации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5.1 — Критерии по защите информации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329"/>
        <w:gridCol w:w="1460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3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45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Работа ведётся по защищённому соединению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Работник видит только те разделы и данные, которые ему разрешены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Обращения к персональным данным учитываются в журнале, включая выгрузку бланков из файлового архива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Согласия на обработку персональных данных фиксируются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Ключ шифрования персональных данных хранится отдельно от сервера и резервных копий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Продолжение таблицы 5.1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329"/>
        <w:gridCol w:w="1460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3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45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73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Каталог файлового архива отдан работникам только на чтение, круг допущенных к нему ограничен</w:t>
            </w:r>
          </w:p>
        </w:tc>
        <w:tc>
          <w:tcPr>
            <w:tcW w:type="dxa" w:w="1459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cantSplit w:val="true"/>
        </w:trPr>
        <w:tc>
          <w:tcPr>
            <w:tcW w:type="dxa" w:w="9354"/>
            <w:shd w:val="clear" w:fill="EAF1F8"/>
            <w:tcBorders>
              <w:left w:val="single" w:sz="24" w:color="2C6FA6"/>
              <w:top w:val="single" w:sz="4" w:color="EAF1F8"/>
              <w:bottom w:val="single" w:sz="4" w:color="EAF1F8"/>
              <w:right w:val="single" w:sz="4" w:color="EAF1F8"/>
            </w:tcBorders>
          </w:tcPr>
          <w:p>
            <w:pPr>
              <w:spacing w:line="288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2C6FA6"/>
                <w:sz w:val="26"/>
              </w:rPr>
              <w:t xml:space="preserve">ПРИМЕЧАНИЕ.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Критерий 34 проверяется, если выгрузка бланков на диск включена. В файлах архива сведения документов записаны открытым текстом, поэтому доступ к каталогу ограничивается наравне с доступом к самой системе. Порядок описан в руководстве по развёртыванию и сопровождению.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Эксплуатация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6.1 — Критерии по эксплуатации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248"/>
        <w:gridCol w:w="1541"/>
      </w:tblGrid>
      <w:tr>
        <w:trPr>
          <w:tblHeader w:val="true"/>
          <w:cantSplit w:val="true"/>
        </w:trPr>
        <w:tc>
          <w:tcPr>
            <w:tcW w:type="dxa" w:w="56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7247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Критерий</w:t>
            </w:r>
          </w:p>
        </w:tc>
        <w:tc>
          <w:tcPr>
            <w:tcW w:type="dxa" w:w="154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Отметка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7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Резервное копирование выполняется, восстановление проверено на практике</w:t>
            </w:r>
          </w:p>
        </w:tc>
        <w:tc>
          <w:tcPr>
            <w:tcW w:type="dxa" w:w="15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7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Обновление версии проведено с сохранением данных</w:t>
            </w:r>
          </w:p>
        </w:tc>
        <w:tc>
          <w:tcPr>
            <w:tcW w:type="dxa" w:w="15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7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Состояние системы контролируется, отказ обнаруживается средствами наблюдения</w:t>
            </w:r>
          </w:p>
        </w:tc>
        <w:tc>
          <w:tcPr>
            <w:tcW w:type="dxa" w:w="1541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7247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Причины обращений устанавливаются по журналам силами подразделения информационных технологий</w:t>
            </w:r>
          </w:p>
        </w:tc>
        <w:tc>
          <w:tcPr>
            <w:tcW w:type="dxa" w:w="1541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Условия завершения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Пилотная эксплуатация считается успешной при одновременном выполнении условий.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7.1 — Условия успешного завершения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6"/>
        <w:gridCol w:w="8829"/>
      </w:tblGrid>
      <w:tr>
        <w:trPr>
          <w:tblHeader w:val="true"/>
          <w:cantSplit w:val="true"/>
        </w:trPr>
        <w:tc>
          <w:tcPr>
            <w:tcW w:type="dxa" w:w="526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№</w:t>
            </w:r>
          </w:p>
        </w:tc>
        <w:tc>
          <w:tcPr>
            <w:tcW w:type="dxa" w:w="8828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Условие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Все критерии разделов 3, 5 и 6 выполнены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Показатели раздела 4 достигнуты, скорость обработки не хуже прежнего порядка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осталось незакрытых блокирующих замечаний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осталось незакрытых критических замечаний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 каждому незакрытому значительному замечанию согласован срок устранения</w:t>
            </w:r>
          </w:p>
        </w:tc>
      </w:tr>
      <w:tr>
        <w:trPr>
          <w:cantSplit w:val="true"/>
        </w:trPr>
        <w:tc>
          <w:tcPr>
            <w:tcW w:type="dxa" w:w="526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8828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Задействованы все роли: заявитель, оператор бюро, согласующий, работник поста, администратор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Незначительные замечания на решение не влияют.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Условия 3 и 4 исключений не допускают: замечание, по которому согласован лишь срок устранения, считается незакрытым.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Критерий, не применимый в организации, отмечается как неприменимый с указанием причины и на решение не влияет.</w:t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Результат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8.1 — Результат пилотной эксплуатации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974"/>
        <w:gridCol w:w="3382"/>
      </w:tblGrid>
      <w:tr>
        <w:trPr>
          <w:tblHeader w:val="true"/>
          <w:cantSplit w:val="true"/>
        </w:trPr>
        <w:tc>
          <w:tcPr>
            <w:tcW w:type="dxa" w:w="5973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38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Дата подведения итогов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Выполнено критериев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Достигнуто показателей из 8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Отмечено как неприменимые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Незакрытых блокирующих замечаний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Незакрытых критических замечаний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Незакрытых значительных замечаний</w:t>
            </w:r>
          </w:p>
        </w:tc>
        <w:tc>
          <w:tcPr>
            <w:tcW w:type="dxa" w:w="338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5973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Решение</w:t>
            </w:r>
          </w:p>
        </w:tc>
        <w:tc>
          <w:tcPr>
            <w:tcW w:type="dxa" w:w="3381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Допустимые формулировки решения: пилотная эксплуатация завершена успешно; продлевается до устранения замечаний; не завершена.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8.2 — Основание при отрицательном решении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56"/>
      </w:tblGrid>
      <w:tr>
        <w:trPr>
          <w:tblHeader w:val="true"/>
          <w:cantSplit w:val="true"/>
        </w:trPr>
        <w:tc>
          <w:tcPr>
            <w:tcW w:type="dxa" w:w="935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Не выполненные условия и причина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935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935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9354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 подтверждают ответственные лица со стороны организации и со стороны разработчика.</w:t>
      </w:r>
    </w:p>
    <w:p>
      <w:r>
        <w:br w:type="page"/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Должность ______________________________________________________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Фамилия, инициалы ______________________________________________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Подпись ____________________ Дата «____» ______________ 20____ г.</w:t>
      </w:r>
    </w:p>
    <w:p>
      <w:pPr>
        <w:spacing w:after="0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Должность ______________________________________________________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Фамилия, инициалы ______________________________________________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Подпись ____________________ Дата «____» ______________ 20____ г.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ЛИСТ РЕГИСТРАЦИИ ИЗМЕНЕНИЙ</w:t>
      </w:r>
    </w:p>
    <w:p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таблице фиксируются изменения документа. Версия повышается при выпуске новой редакции: вторая цифра при уточнениях и дополнениях, первая при переработке структуры или существенном изменении требований.</w:t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Таблица И.1 — Регистрация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28.07.2026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Первая редакция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28.07.2026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Сверка с реализацией: уточнён порядок снятия показателей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01.08.2026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Лист регистрации изменений разделён по документам: у каждого своя редакция и свой перечень изменений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1.3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03.08.2026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Учёт обращений к персональным данным дополнен выгрузкой бланков из файлового архива; добавлен критерий ограниченного доступа к каталогу архива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1.4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Добавлены гриф конфиденциальности и лист ограничений на использование документа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1.5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Показатель скорости обработки приведён к тому, что считает система: от подачи до принятия в работу; итог разделён на критерии и показатели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1.6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Лист условий использования сокращён и смягчён: оставлены принадлежность прав, запрет передачи третьим лицам и отсутствие лицензии; убраны срок действия ограничений, требования письменного согласия и подтверждения уничтожения копий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1.7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Свойства файла заполнены выходными данными документа: прежде в них стояли служебные значения средства сборки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1.8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20.08.2026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Уточнён порядок снятия показателей работы системы: доля ошибок сервера считается по отбору «5xx», среднее время ответа берётся на вкладке аналитики, а медиана и перцентиль в шапке раздела относятся к последнему часу и для отчёта за период не годятся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14.10.2026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Уточнены текущие сроки и права, пересылка, ручные записи и учёт незакрытых проходов; устранены устаревшие инструкции и добавлены сценарии актуального выпуска.</w:t>
            </w: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p>
      <w:r>
        <w:br w:type="page"/>
      </w:r>
    </w:p>
    <w:p>
      <w:pPr>
        <w:keepNext/>
        <w:spacing w:line="24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Окончание таблицы И.1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701"/>
        <w:gridCol w:w="5670"/>
        <w:gridCol w:w="850"/>
      </w:tblGrid>
      <w:tr>
        <w:trPr>
          <w:tblHeader w:val="true"/>
          <w:cantSplit w:val="true"/>
        </w:trPr>
        <w:tc>
          <w:tcPr>
            <w:tcW w:type="dxa" w:w="1134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Версия</w:t>
            </w:r>
          </w:p>
        </w:tc>
        <w:tc>
          <w:tcPr>
            <w:tcW w:type="dxa" w:w="1701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5669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 изменения</w:t>
            </w:r>
          </w:p>
        </w:tc>
        <w:tc>
          <w:tcPr>
            <w:tcW w:type="dxa" w:w="850"/>
            <w:shd w:val="clear" w:fill="E8E8E8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Внёс</w:t>
            </w: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 w:val="true"/>
          <w:trHeight w:val="680" w:hRule="atLeast"/>
        </w:trPr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5669"/>
          </w:tcPr>
          <w:p>
            <w:pPr>
              <w:spacing w:line="240" w:lineRule="auto" w:after="0"/>
              <w:ind w:firstLine="0"/>
              <w:jc w:val="left"/>
            </w:pPr>
          </w:p>
        </w:tc>
        <w:tc>
          <w:tcPr>
            <w:tcW w:type="dxa" w:w="850"/>
          </w:tcPr>
          <w:p>
            <w:pPr>
              <w:spacing w:line="240" w:lineRule="auto" w:after="0"/>
              <w:ind w:firstLine="0"/>
              <w:jc w:val="left"/>
            </w:pP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 w:eastAsia="Times New Roman"/>
        <w:b w:val="0"/>
        <w:i w:val="0"/>
        <w:color w:val="595959"/>
        <w:sz w:val="22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cs="Times New Roman" w:eastAsia="Times New Roman"/>
        <w:b w:val="0"/>
        <w:i/>
        <w:color w:val="595959"/>
        <w:sz w:val="18"/>
      </w:rPr>
      <w:t>Не для распространения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/>
      <w:contextualSpacing/>
      <w:jc w:val="left"/>
    </w:pPr>
    <w:rPr>
      <w:rFonts w:ascii="Times New Roman" w:hAnsi="Times New Roman" w:cs="Times New Roman" w:eastAsia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УСПЕШНОГО ЗАВЕРШЕНИЯ ПИЛОТНОГО ПЕРИОДА</dc:title>
  <dc:subject>СИСТЕМА ЭЛЕКТРОННОЙ ПОДАЧИ ЗАЯВОК «БЮРО ПРОПУСКОВ»</dc:subject>
  <dc:creator>Правообладатель</dc:creator>
  <cp:keywords/>
  <dc:description/>
  <cp:lastModifiedBy>Правообладатель</cp:lastModifiedBy>
  <cp:revision>1</cp:revision>
  <dcterms:created xsi:type="dcterms:W3CDTF">2026-10-16T00:41:52Z</dcterms:created>
  <dcterms:modified xsi:type="dcterms:W3CDTF">2026-10-16T00:41:52Z</dcterms:modified>
  <cp:category>Эксплуатационная документация</cp:category>
</cp:coreProperties>
</file>