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1.18</w:t>
      </w:r>
    </w:p>
    <w:p>
      <w:pPr>
        <w:ind w:firstLine="0"/>
        <w:jc w:val="center"/>
      </w:pPr>
      <w:r>
        <w:rPr>
          <w:rFonts w:ascii="Times New Roman" w:hAnsi="Times New Roman" w:cs="Times New Roman" w:eastAsia="Times New Roman"/>
          <w:b w:val="0"/>
          <w:i w:val="0"/>
          <w:color w:val="000000"/>
          <w:sz w:val="26"/>
        </w:rPr>
        <w:t>Дата: 14.10.2026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10.9. Изменение сроков и ручная привязка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Незакрытые проходы и исправление учёта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Уведомление людей, которых проводят по заявкам</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15.5. Сведения о субъекте персональных данных</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74</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без каких-либо ограничений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Заблокированный не имеет прав вообще, независимо от назначенных ролей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2004705" cy="7200000"/>
            <wp:docPr id="1" name="Picture 1"/>
            <wp:cNvGraphicFramePr>
              <a:graphicFrameLocks noChangeAspect="1"/>
            </wp:cNvGraphicFramePr>
            <a:graphic>
              <a:graphicData uri="http://schemas.openxmlformats.org/drawingml/2006/picture">
                <pic:pic>
                  <pic:nvPicPr>
                    <pic:cNvPr id="0" name="admin-sections-padded.png"/>
                    <pic:cNvPicPr/>
                  </pic:nvPicPr>
                  <pic:blipFill>
                    <a:blip r:embed="rId11"/>
                    <a:stretch>
                      <a:fillRect/>
                    </a:stretch>
                  </pic:blipFill>
                  <pic:spPr>
                    <a:xfrm>
                      <a:off x="0" y="0"/>
                      <a:ext cx="2004705"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Список прокручивается внутри колонки: нижние группы могут находиться за пределами видимой части.</w:t>
      </w:r>
    </w:p>
    <w:p>
      <w:r>
        <w:rPr>
          <w:rFonts w:ascii="Times New Roman" w:hAnsi="Times New Roman" w:cs="Times New Roman" w:eastAsia="Times New Roman"/>
          <w:b w:val="0"/>
          <w:i w:val="0"/>
          <w:color w:val="000000"/>
          <w:sz w:val="28"/>
        </w:rPr>
        <w:t>Разделы собраны в четыре группы: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/admin/pd-subject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page.admin.pd_subject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У заблокированного прав нет вообще, какие бы роли и группы ему ни назначили. Проверяется раньше всего остального, в том числе раньше признака супер-администратора</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без исключений, включая действия, закрытые для всех остальных</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Одно право работает только в паре с другим.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xml:space="preserve">) показано в дереве вложенным в </w:t>
      </w:r>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и без него не действует: первое разрешает видеть серию и номер паспорта, номер патента и иное разрешение в карточке человека, второе - вынести их из системы бланком заявки. Поэтому, закрывая работнику раздел документов, отдельно отзывать выгрузку не нужно - она закроется сама. По умолчанию выгрузка есть только у администраторов; работник без неё скачивает бланк с прочерком на месте этих сведений, а сохранённые копии бланков из файлового архива ему не выдаются. Права не требует инициатор заявки: сведения, которые он сам внёс в свою заявку, выдаются ему полностью, включая сохранённые копии её бланков. На чужие заявки это не распространяется.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Смена пароля немедленно закрывает работнику доступ со старым паролем.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работнику вход и снимает с него все права.</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заявитель увидит его вместо настоящего ФИО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Администратору в этой области разрешено изменить и удалить любую запись, к какой бы организации она ни была привязана. Это нужно бюро: заявитель ошибается в номере паспорта или в марке, а поправить запись за него может только тот, кто её видит. Работник без прав администратора запись из чужой организации по-прежнему только читает, о чём говорит подпись «Только просмотр» в строке.</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2"/>
        <w:ind w:firstLine="0"/>
      </w:pPr>
      <w:r>
        <w:rPr>
          <w:rFonts w:ascii="Times New Roman" w:hAnsi="Times New Roman" w:cs="Times New Roman" w:eastAsia="Times New Roman"/>
          <w:b/>
          <w:i w:val="0"/>
          <w:color w:val="000000"/>
          <w:sz w:val="28"/>
        </w:rPr>
        <w:t>10.9. Изменение сроков и ручная привязка</w:t>
      </w:r>
    </w:p>
    <w:p>
      <w:r>
        <w:rPr>
          <w:rFonts w:ascii="Times New Roman" w:hAnsi="Times New Roman" w:cs="Times New Roman" w:eastAsia="Times New Roman"/>
          <w:b w:val="0"/>
          <w:i w:val="0"/>
          <w:color w:val="000000"/>
          <w:sz w:val="28"/>
        </w:rPr>
        <w:t>Из карточки действующей записи человека или машины откройте календарь «Изменить срок». Проверьте текущий срок и источник, выберите «Собственный срок» либо возврат к сроку основания, заполните даты/часы по Москве и обязательную причину. Действие требует отдельного права, а видимость карточки не разрешает автоматически изменение. У завершённой заявки это не способ возобновить пропуск.</w:t>
      </w:r>
    </w:p>
    <w:p>
      <w:r>
        <w:rPr>
          <w:rFonts w:ascii="Times New Roman" w:hAnsi="Times New Roman" w:cs="Times New Roman" w:eastAsia="Times New Roman"/>
          <w:b w:val="0"/>
          <w:i w:val="0"/>
          <w:color w:val="000000"/>
          <w:sz w:val="28"/>
        </w:rPr>
        <w:t>Для общей смены срока в карточке заявки выберите одно или несколько вложений и настройку «Сохранить индивидуальные сроки» либо «Заменить индивидуальные сроки». Не выбирайте замену автоматически: она затрагивает ранее установленные исключения. Уже поданные голоса не сбрасываются. Причина и автор остаются в истории и уведомлениях.</w:t>
      </w:r>
    </w:p>
    <w:p>
      <w:r>
        <w:rPr>
          <w:rFonts w:ascii="Times New Roman" w:hAnsi="Times New Roman" w:cs="Times New Roman" w:eastAsia="Times New Roman"/>
          <w:b w:val="0"/>
          <w:i w:val="0"/>
          <w:color w:val="000000"/>
          <w:sz w:val="28"/>
        </w:rPr>
        <w:t>Ручную запись можно связать через «Привязать к заявке». Выберите согласованную заявку в работе и новое либо существующее вложение того же типа. Переносится только открытый человек/машина. Для бессрочной записи обязательно выбрать конечный срок из конкретного вложения либо ввести свой. У машины общие места берутся из целевого вложения, собственные дополнительные признаки сохраняются отдельно; проверьте предварительный результат перед подтверждением.</w:t>
      </w:r>
    </w:p>
    <w:p>
      <w:r>
        <w:rPr>
          <w:rFonts w:ascii="Times New Roman" w:hAnsi="Times New Roman" w:cs="Times New Roman" w:eastAsia="Times New Roman"/>
          <w:b w:val="0"/>
          <w:i w:val="0"/>
          <w:color w:val="000000"/>
          <w:sz w:val="28"/>
        </w:rPr>
        <w:t>Если другой оператор изменил запись, обновите сведения и повторно проверьте состав действия. Существование записи с тем же номером/документом не разрешает менять недоступный объект.</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29411" cy="7200000"/>
            <wp:docPr id="13" name="Picture 13"/>
            <wp:cNvGraphicFramePr>
              <a:graphicFrameLocks noChangeAspect="1"/>
            </wp:cNvGraphicFramePr>
            <a:graphic>
              <a:graphicData uri="http://schemas.openxmlformats.org/drawingml/2006/picture">
                <pic:pic>
                  <pic:nvPicPr>
                    <pic:cNvPr id="0" name="manual-attach-padded.png"/>
                    <pic:cNvPicPr/>
                  </pic:nvPicPr>
                  <pic:blipFill>
                    <a:blip r:embed="rId23"/>
                    <a:stretch>
                      <a:fillRect/>
                    </a:stretch>
                  </pic:blipFill>
                  <pic:spPr>
                    <a:xfrm>
                      <a:off x="0" y="0"/>
                      <a:ext cx="5929411"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10.3 — Выбор основания и источника срока ручной записи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black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admin-attach-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6" name="Picture 16"/>
            <wp:cNvGraphicFramePr>
              <a:graphicFrameLocks noChangeAspect="1"/>
            </wp:cNvGraphicFramePr>
            <a:graphic>
              <a:graphicData uri="http://schemas.openxmlformats.org/drawingml/2006/picture">
                <pic:pic>
                  <pic:nvPicPr>
                    <pic:cNvPr id="0" name="admin-attach-card.png"/>
                    <pic:cNvPicPr/>
                  </pic:nvPicPr>
                  <pic:blipFill>
                    <a:blip r:embed="rId26"/>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7" name="Picture 17"/>
            <wp:cNvGraphicFramePr>
              <a:graphicFrameLocks noChangeAspect="1"/>
            </wp:cNvGraphicFramePr>
            <a:graphic>
              <a:graphicData uri="http://schemas.openxmlformats.org/drawingml/2006/picture">
                <pic:pic>
                  <pic:nvPicPr>
                    <pic:cNvPr id="0" name="admin-attach-fields.png"/>
                    <pic:cNvPicPr/>
                  </pic:nvPicPr>
                  <pic:blipFill>
                    <a:blip r:embed="rId27"/>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каталоге полей работников сохранено историческое название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В форме работника соответствующая отметка называется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и подтверждает уведомление работника. Она не заменяет согласие самого пользователя системы. Для работников поле показывается и требуется по умолчанию; изменение этих настроек влияет на форму заявки. Уведомление при добавлении записи в реестр проверяется отдельно.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8" name="Picture 18"/>
            <wp:cNvGraphicFramePr>
              <a:graphicFrameLocks noChangeAspect="1"/>
            </wp:cNvGraphicFramePr>
            <a:graphic>
              <a:graphicData uri="http://schemas.openxmlformats.org/drawingml/2006/picture">
                <pic:pic>
                  <pic:nvPicPr>
                    <pic:cNvPr id="0" name="admin-attach-blank.png"/>
                    <pic:cNvPicPr/>
                  </pic:nvPicPr>
                  <pic:blipFill>
                    <a:blip r:embed="rId28"/>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9" name="Picture 19"/>
            <wp:cNvGraphicFramePr>
              <a:graphicFrameLocks noChangeAspect="1"/>
            </wp:cNvGraphicFramePr>
            <a:graphic>
              <a:graphicData uri="http://schemas.openxmlformats.org/drawingml/2006/picture">
                <pic:pic>
                  <pic:nvPicPr>
                    <pic:cNvPr id="0" name="admin-tables-list.png"/>
                    <pic:cNvPicPr/>
                  </pic:nvPicPr>
                  <pic:blipFill>
                    <a:blip r:embed="rId2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20" name="Picture 20"/>
            <wp:cNvGraphicFramePr>
              <a:graphicFrameLocks noChangeAspect="1"/>
            </wp:cNvGraphicFramePr>
            <a:graphic>
              <a:graphicData uri="http://schemas.openxmlformats.org/drawingml/2006/picture">
                <pic:pic>
                  <pic:nvPicPr>
                    <pic:cNvPr id="0" name="admin-tables-create.png"/>
                    <pic:cNvPicPr/>
                  </pic:nvPicPr>
                  <pic:blipFill>
                    <a:blip r:embed="rId30"/>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main.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2" name="Picture 22"/>
            <wp:cNvGraphicFramePr>
              <a:graphicFrameLocks noChangeAspect="1"/>
            </wp:cNvGraphicFramePr>
            <a:graphic>
              <a:graphicData uri="http://schemas.openxmlformats.org/drawingml/2006/picture">
                <pic:pic>
                  <pic:nvPicPr>
                    <pic:cNvPr id="0" name="admin-tables-columns.png"/>
                    <pic:cNvPicPr/>
                  </pic:nvPicPr>
                  <pic:blipFill>
                    <a:blip r:embed="rId32"/>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Незакрытые проходы и исправление учёта</w:t>
      </w:r>
    </w:p>
    <w:p>
      <w:r>
        <w:rPr>
          <w:rFonts w:ascii="Times New Roman" w:hAnsi="Times New Roman" w:cs="Times New Roman" w:eastAsia="Times New Roman"/>
          <w:b w:val="0"/>
          <w:i w:val="0"/>
          <w:color w:val="000000"/>
          <w:sz w:val="28"/>
        </w:rPr>
        <w:t>Кнопка «Незакрытые проходы» или «Незакрытые проезды» есть в соответствующей таблице. Оператор со специальным правом исправления также использует сводку в реестре людей/машин. Фильтр «Более 48 часов» обращает внимание на старые открытые входы; можно отобрать просроченные, все незакрытые либо недавние исправления, выбрать организацию и поиск.</w:t>
      </w:r>
    </w:p>
    <w:p>
      <w:r>
        <w:rPr>
          <w:rFonts w:ascii="Times New Roman" w:hAnsi="Times New Roman" w:cs="Times New Roman" w:eastAsia="Times New Roman"/>
          <w:b w:val="0"/>
          <w:i w:val="0"/>
          <w:color w:val="000000"/>
          <w:sz w:val="28"/>
        </w:rPr>
        <w:t>Открытая отметка не подтверждает физическое присутствие: сначала выясните обстоятельства. Для исправления выберите запись, нажмите «Исправить учёт», укажите причину. При известном фактическом времени включите тумблер и введите дату/час по Москве — не раньше входа и не позже текущего времени. При неизвестном времени оставьте его неизвестным; сервер отдельно сохранит время регистрации исправления.</w:t>
      </w:r>
    </w:p>
    <w:p>
      <w:r>
        <w:rPr>
          <w:rFonts w:ascii="Times New Roman" w:hAnsi="Times New Roman" w:cs="Times New Roman" w:eastAsia="Times New Roman"/>
          <w:b w:val="0"/>
          <w:i w:val="0"/>
          <w:color w:val="000000"/>
          <w:sz w:val="28"/>
        </w:rPr>
        <w:t>После исправления просроченная строка остаётся ещё пять минут и не допускает нового входа. В режиме «Недавние исправления» при нужном праве можно отменить исправление в пределах 15 минут, если после него не было следующего события. Это не отмена случайного последнего въезда/выезда: у той операции свои условия и окно «Отмена отметки».</w:t>
      </w:r>
    </w:p>
    <w:p>
      <w:r>
        <w:rPr>
          <w:rFonts w:ascii="Times New Roman" w:hAnsi="Times New Roman" w:cs="Times New Roman" w:eastAsia="Times New Roman"/>
          <w:b w:val="0"/>
          <w:i w:val="0"/>
          <w:color w:val="000000"/>
          <w:sz w:val="28"/>
        </w:rPr>
        <w:t>Старую запись без времени входа не считать автоматически старше 48 часов. Отозванную/архивную запись и удалённую привязку к посту оператор разбирает только в пределах своей видимости: не возвращайте охране доступ ради очистки списка. После конфликта обновите данные, проверьте последнюю отметку и заново выберите действие.</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4219448"/>
            <wp:docPr id="23" name="Picture 23"/>
            <wp:cNvGraphicFramePr>
              <a:graphicFrameLocks noChangeAspect="1"/>
            </wp:cNvGraphicFramePr>
            <a:graphic>
              <a:graphicData uri="http://schemas.openxmlformats.org/drawingml/2006/picture">
                <pic:pic>
                  <pic:nvPicPr>
                    <pic:cNvPr id="0" name="passage-correction-padded.png"/>
                    <pic:cNvPicPr/>
                  </pic:nvPicPr>
                  <pic:blipFill>
                    <a:blip r:embed="rId33"/>
                    <a:stretch>
                      <a:fillRect/>
                    </a:stretch>
                  </pic:blipFill>
                  <pic:spPr>
                    <a:xfrm>
                      <a:off x="0" y="0"/>
                      <a:ext cx="5940000" cy="42194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13.5 — Исправление учёта уполномоченным оператором</w:t>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admin-settings-sections.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5" name="Picture 25"/>
            <wp:cNvGraphicFramePr>
              <a:graphicFrameLocks noChangeAspect="1"/>
            </wp:cNvGraphicFramePr>
            <a:graphic>
              <a:graphicData uri="http://schemas.openxmlformats.org/drawingml/2006/picture">
                <pic:pic>
                  <pic:nvPicPr>
                    <pic:cNvPr id="0" name="admin-settings-password.png"/>
                    <pic:cNvPicPr/>
                  </pic:nvPicPr>
                  <pic:blipFill>
                    <a:blip r:embed="rId35"/>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6" name="Picture 26"/>
            <wp:cNvGraphicFramePr>
              <a:graphicFrameLocks noChangeAspect="1"/>
            </wp:cNvGraphicFramePr>
            <a:graphic>
              <a:graphicData uri="http://schemas.openxmlformats.org/drawingml/2006/picture">
                <pic:pic>
                  <pic:nvPicPr>
                    <pic:cNvPr id="0" name="admin-settings-rotation.png"/>
                    <pic:cNvPicPr/>
                  </pic:nvPicPr>
                  <pic:blipFill>
                    <a:blip r:embed="rId36"/>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и поддерживает учёт подтверждений, описанный ниже.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первом входе.</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consent.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8" name="Picture 28"/>
            <wp:cNvGraphicFramePr>
              <a:graphicFrameLocks noChangeAspect="1"/>
            </wp:cNvGraphicFramePr>
            <a:graphic>
              <a:graphicData uri="http://schemas.openxmlformats.org/drawingml/2006/picture">
                <pic:pic>
                  <pic:nvPicPr>
                    <pic:cNvPr id="0" name="admin-consent-registry.png"/>
                    <pic:cNvPicPr/>
                  </pic:nvPicPr>
                  <pic:blipFill>
                    <a:blip r:embed="rId38"/>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Работник, который не давал согласия ни разу, системой пользуется, но его фамилия скрыта от других работников - в списках вместо неё показывается логин. Поэтому незакрытый сбор согласий заметен не только здесь: он мешает заявителям выбирать получателей и согласующих по фамилии. Поднятие редакции имён не скрывает: тот, кто соглашался с прежней редакцией, в списке </w:t>
            </w:r>
            <w:r>
              <w:rPr>
                <w:rFonts w:ascii="Times New Roman" w:hAnsi="Times New Roman" w:cs="Times New Roman" w:eastAsia="Times New Roman"/>
                <w:b/>
                <w:i w:val="0"/>
                <w:color w:val="000000"/>
                <w:sz w:val="26"/>
              </w:rPr>
              <w:t>«Ещё не подтвердили»</w:t>
            </w:r>
            <w:r>
              <w:rPr>
                <w:rFonts w:ascii="Times New Roman" w:hAnsi="Times New Roman" w:cs="Times New Roman" w:eastAsia="Times New Roman"/>
                <w:b w:val="0"/>
                <w:i w:val="0"/>
                <w:color w:val="000000"/>
                <w:sz w:val="26"/>
              </w:rPr>
              <w:t xml:space="preserve"> окажется, а фамилию его по-прежнему видно.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Уведомление людей, которых проводят по заявкам</w:t>
      </w:r>
    </w:p>
    <w:p>
      <w:r>
        <w:rPr>
          <w:rFonts w:ascii="Times New Roman" w:hAnsi="Times New Roman" w:cs="Times New Roman" w:eastAsia="Times New Roman"/>
          <w:b w:val="0"/>
          <w:i w:val="0"/>
          <w:color w:val="000000"/>
          <w:sz w:val="28"/>
        </w:rPr>
        <w:t>Раздел выше собирает согласия пользователей системы за себя. Для людей, чьи данные вносит заявитель, форма содержит отдельное подтверждение: «Работник уведомлён об обработке персональных данных». Оно есть в форме сотрудника при подаче заявки и при создании записи в разделе «Сотрудники». Эта отметка фиксирует уведомление человека и не заменяет согласие пользователя своей учётной записи.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человека; событие учитывается в истории. В форме новой записи реестра подтверждение обязательно. При подаче заявки показ и обязательность соответствующего поля зависят от настройки вида вложения, см. подраздел 12.4. Подтверждение требуется у каждой строки, для которой поле включено как обязательное.</w:t>
      </w:r>
    </w:p>
    <w:p>
      <w:r>
        <w:rPr>
          <w:rFonts w:ascii="Times New Roman" w:hAnsi="Times New Roman" w:cs="Times New Roman" w:eastAsia="Times New Roman"/>
          <w:b w:val="0"/>
          <w:i w:val="0"/>
          <w:color w:val="000000"/>
          <w:sz w:val="28"/>
        </w:rPr>
        <w:t>Повторным сохранением карточки существующая дата уведомления не удаляется. Если отметки нет, подтвердите фактическое уведомление человека. Возражение против обработки — отдельное состояние и отдельные действия, см. подраздел 15.5.</w:t>
      </w:r>
    </w:p>
    <w:p>
      <w:pPr>
        <w:pStyle w:val="Heading2"/>
        <w:ind w:firstLine="0"/>
      </w:pPr>
      <w:r>
        <w:rPr>
          <w:rFonts w:ascii="Times New Roman" w:hAnsi="Times New Roman" w:cs="Times New Roman" w:eastAsia="Times New Roman"/>
          <w:b/>
          <w:i w:val="0"/>
          <w:color w:val="000000"/>
          <w:sz w:val="28"/>
        </w:rPr>
        <w:t>15.5. Сведения о субъекте персональных данных</w:t>
      </w:r>
    </w:p>
    <w:p>
      <w:r>
        <w:rPr>
          <w:rFonts w:ascii="Times New Roman" w:hAnsi="Times New Roman" w:cs="Times New Roman" w:eastAsia="Times New Roman"/>
          <w:b w:val="0"/>
          <w:i w:val="0"/>
          <w:color w:val="000000"/>
          <w:sz w:val="28"/>
        </w:rPr>
        <w:t>Раздел «Сведения о субъекте персональных данных» доступен по отдельному праву. Он показывает, что система хранит о конкретном человеке: записи реестра, участие в заявках, проходы и посты. Это не общий поиск для обхода скрытия ПД.</w:t>
      </w:r>
    </w:p>
    <w:p>
      <w:r>
        <w:rPr>
          <w:rFonts w:ascii="Times New Roman" w:hAnsi="Times New Roman" w:cs="Times New Roman" w:eastAsia="Times New Roman"/>
          <w:b w:val="0"/>
          <w:i w:val="0"/>
          <w:color w:val="000000"/>
          <w:sz w:val="28"/>
        </w:rPr>
        <w:t>Найдите человека по документу либо ФИО, затем проверьте кандидата по документу: совпадения имён недостаточно для объединения. Откройте сведения. Для выдачи справки требуется дополнительное право; нажмите «Выгрузить справку», укажите получателя и реквизиты запроса. Выдача учитывается как раскрытие данных и остаётся в соответствующем журнале.</w:t>
      </w:r>
    </w:p>
    <w:p>
      <w:r>
        <w:rPr>
          <w:rFonts w:ascii="Times New Roman" w:hAnsi="Times New Roman" w:cs="Times New Roman" w:eastAsia="Times New Roman"/>
          <w:b w:val="0"/>
          <w:i w:val="0"/>
          <w:color w:val="000000"/>
          <w:sz w:val="28"/>
        </w:rPr>
        <w:t>Обращение субъекта, возражение, снятие возражения и обезличивание имеют разные последствия. Не снимайте возражение ради прохождения формы. При частичном редактировании непереданные ФИО/должность не считаются изменением; фактическое запрещённое изменение может вызвать конфликт. У обычного пользователя отказ в снятии возражения не раскрывает, существует ли указанный ID.</w:t>
      </w:r>
    </w:p>
    <w:p>
      <w:r>
        <w:rPr>
          <w:rFonts w:ascii="Times New Roman" w:hAnsi="Times New Roman" w:cs="Times New Roman" w:eastAsia="Times New Roman"/>
          <w:b w:val="0"/>
          <w:i w:val="0"/>
          <w:color w:val="000000"/>
          <w:sz w:val="28"/>
        </w:rPr>
        <w:t>Автоматическое обезличивание завершившихся заявок и срок хранения истории настраиваются владельцем установки по руководству сопровождения; это не новая массовая кнопка в данном разделе. Необратимые операции и раскрытие данных выполняются только при действительном основании и полномочиях.</w:t>
      </w:r>
    </w:p>
    <w:p>
      <w:pPr>
        <w:keepNext/>
        <w:spacing w:before="120" w:after="40"/>
        <w:ind w:firstLine="0"/>
        <w:jc w:val="center"/>
      </w:pPr>
      <w:r>
        <w:drawing>
          <wp:inline xmlns:a="http://schemas.openxmlformats.org/drawingml/2006/main" xmlns:pic="http://schemas.openxmlformats.org/drawingml/2006/picture">
            <wp:extent cx="5940000" cy="3723923"/>
            <wp:docPr id="29" name="Picture 29"/>
            <wp:cNvGraphicFramePr>
              <a:graphicFrameLocks noChangeAspect="1"/>
            </wp:cNvGraphicFramePr>
            <a:graphic>
              <a:graphicData uri="http://schemas.openxmlformats.org/drawingml/2006/picture">
                <pic:pic>
                  <pic:nvPicPr>
                    <pic:cNvPr id="0" name="pd-subject-padded.png"/>
                    <pic:cNvPicPr/>
                  </pic:nvPicPr>
                  <pic:blipFill>
                    <a:blip r:embed="rId39"/>
                    <a:stretch>
                      <a:fillRect/>
                    </a:stretch>
                  </pic:blipFill>
                  <pic:spPr>
                    <a:xfrm>
                      <a:off x="0" y="0"/>
                      <a:ext cx="5940000" cy="372392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15.3 — Поиск человека и состав собранных сведений</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feedback.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pPr>
        <w:keepNext/>
        <w:spacing w:before="120" w:after="40"/>
        <w:ind w:firstLine="0"/>
        <w:jc w:val="center"/>
      </w:pPr>
      <w:r>
        <w:drawing>
          <wp:inline xmlns:a="http://schemas.openxmlformats.org/drawingml/2006/main" xmlns:pic="http://schemas.openxmlformats.org/drawingml/2006/picture">
            <wp:extent cx="5940000" cy="3883846"/>
            <wp:docPr id="31" name="Picture 31"/>
            <wp:cNvGraphicFramePr>
              <a:graphicFrameLocks noChangeAspect="1"/>
            </wp:cNvGraphicFramePr>
            <a:graphic>
              <a:graphicData uri="http://schemas.openxmlformats.org/drawingml/2006/picture">
                <pic:pic>
                  <pic:nvPicPr>
                    <pic:cNvPr id="0" name="admin-analytics-dashboard.png"/>
                    <pic:cNvPicPr/>
                  </pic:nvPicPr>
                  <pic:blipFill>
                    <a:blip r:embed="rId4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Аналитика: дашборд</w:t>
      </w:r>
    </w:p>
    <w:p>
      <w:r>
        <w:rPr>
          <w:rFonts w:ascii="Times New Roman" w:hAnsi="Times New Roman" w:cs="Times New Roman" w:eastAsia="Times New Roman"/>
          <w:b w:val="0"/>
          <w:i w:val="0"/>
          <w:color w:val="000000"/>
          <w:sz w:val="28"/>
        </w:rPr>
        <w:t xml:space="preserve">Период задаётся в шапке (1):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(2):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32" name="Picture 32"/>
            <wp:cNvGraphicFramePr>
              <a:graphicFrameLocks noChangeAspect="1"/>
            </wp:cNvGraphicFramePr>
            <a:graphic>
              <a:graphicData uri="http://schemas.openxmlformats.org/drawingml/2006/picture">
                <pic:pic>
                  <pic:nvPicPr>
                    <pic:cNvPr id="0" name="admin-analytics-processing.png"/>
                    <pic:cNvPicPr/>
                  </pic:nvPicPr>
                  <pic:blipFill>
                    <a:blip r:embed="rId4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92247"/>
            <wp:docPr id="33" name="Picture 33"/>
            <wp:cNvGraphicFramePr>
              <a:graphicFrameLocks noChangeAspect="1"/>
            </wp:cNvGraphicFramePr>
            <a:graphic>
              <a:graphicData uri="http://schemas.openxmlformats.org/drawingml/2006/picture">
                <pic:pic>
                  <pic:nvPicPr>
                    <pic:cNvPr id="0" name="admin-analytics-reports.png"/>
                    <pic:cNvPicPr/>
                  </pic:nvPicPr>
                  <pic:blipFill>
                    <a:blip r:embed="rId43"/>
                    <a:stretch>
                      <a:fillRect/>
                    </a:stretch>
                  </pic:blipFill>
                  <pic:spPr>
                    <a:xfrm>
                      <a:off x="0" y="0"/>
                      <a:ext cx="5940000" cy="389224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Он задаётся только здесь: у отчёта свой период, не связанный с дашбордом, поэтому на этой вкладке кнопки периода и календарь в шапке раздела не показываются.</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Если за выбранный период данных не нашлось, под мастером появляется строка с кнопкой </w:t>
      </w:r>
      <w:r>
        <w:rPr>
          <w:rFonts w:ascii="Times New Roman" w:hAnsi="Times New Roman" w:cs="Times New Roman" w:eastAsia="Times New Roman"/>
          <w:b/>
          <w:i w:val="0"/>
          <w:color w:val="000000"/>
          <w:sz w:val="28"/>
        </w:rPr>
        <w:t>«Показать за весь период»</w:t>
      </w:r>
      <w:r>
        <w:rPr>
          <w:rFonts w:ascii="Times New Roman" w:hAnsi="Times New Roman" w:cs="Times New Roman" w:eastAsia="Times New Roman"/>
          <w:b w:val="0"/>
          <w:i w:val="0"/>
          <w:color w:val="000000"/>
          <w:sz w:val="28"/>
        </w:rPr>
        <w:t xml:space="preserve"> - чаще всего пустая таблица означает слишком узкий период, а не отсутствие записей вообще.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keepNext/>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2026-10-15T23:57:21Z</dcterms:created>
  <dcterms:modified xsi:type="dcterms:W3CDTF">2026-10-15T23:57:21Z</dcterms:modified>
  <cp:category>Эксплуатационная документация</cp:category>
</cp:coreProperties>
</file>