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1.83</w:t>
      </w:r>
    </w:p>
    <w:p>
      <w:pPr>
        <w:ind w:firstLine="0"/>
        <w:jc w:val="center"/>
      </w:pPr>
      <w:r>
        <w:rPr>
          <w:rFonts w:ascii="Times New Roman" w:hAnsi="Times New Roman" w:cs="Times New Roman" w:eastAsia="Times New Roman"/>
          <w:b w:val="0"/>
          <w:i w:val="0"/>
          <w:color w:val="000000"/>
          <w:sz w:val="26"/>
        </w:rPr>
        <w:t>Дата: 14.10.2026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69</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доступно при включённом SWAGGER_ENABLED. Оно формируется из аннотаций кода; при интеграции контракт дополнительно сверяют с действующим маршрутом и ответом сервера.</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6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63 фиксированных ключа в 7 категориях. Дополнительно на каждую созданную таблицу поста автоматически создаётся 10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что указанные лица уведомлены об обработке персональных данных и сведения переданы правомерно,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Статусы уже вышедших людей и выехавших машин сбрасываются; статус «На территории» сохраняется, поэтому незакрытый вход не теряется при смене суток.</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3"/>
        <w:ind w:firstLine="0"/>
      </w:pPr>
      <w:r>
        <w:rPr>
          <w:rFonts w:ascii="Times New Roman" w:hAnsi="Times New Roman" w:cs="Times New Roman" w:eastAsia="Times New Roman"/>
          <w:b/>
          <w:i w:val="0"/>
          <w:color w:val="000000"/>
          <w:sz w:val="28"/>
        </w:rPr>
        <w:t>Уточнения сроков, пересылки и учёта</w:t>
      </w:r>
    </w:p>
    <w:p>
      <w:r>
        <w:rPr>
          <w:rFonts w:ascii="Times New Roman" w:hAnsi="Times New Roman" w:cs="Times New Roman" w:eastAsia="Times New Roman"/>
          <w:b w:val="0"/>
          <w:i w:val="0"/>
          <w:color w:val="000000"/>
          <w:sz w:val="28"/>
        </w:rPr>
        <w:t>Общий срок можно менять до принятия заявки и в работе при наличии соответствующего права. Индивидуальный срок задаётся конкретному человеку или машине в работающей заявке, а также действующей ручной записи. При общей смене срока интерфейс предлагает сохранить индивидуальные сроки либо применить общее изменение к выбранному составу. Уже поданные голоса сохраняются; следующий согласующий видит новый срок. Изменение и его автор остаются в истории. Завершённая заявка не возвращается в работу простым продлением, просроченная не принимается как действующая.</w:t>
      </w:r>
    </w:p>
    <w:p>
      <w:r>
        <w:rPr>
          <w:rFonts w:ascii="Times New Roman" w:hAnsi="Times New Roman" w:cs="Times New Roman" w:eastAsia="Times New Roman"/>
          <w:b w:val="0"/>
          <w:i w:val="0"/>
          <w:color w:val="000000"/>
          <w:sz w:val="28"/>
        </w:rPr>
        <w:t>Пересылка показывает, кому и с каким назначением направлены материалы: просмотр или согласование. Отозванную заявку можно переслать только для просмотра. История содержит состав материалов и комментарий. Для старых записей без идентификаторов получателей выводится «Сведения о получателях недоступны»: непроверенные имена не восстанавливаются по совпадению текста.</w:t>
      </w:r>
    </w:p>
    <w:p>
      <w:r>
        <w:rPr>
          <w:rFonts w:ascii="Times New Roman" w:hAnsi="Times New Roman" w:cs="Times New Roman" w:eastAsia="Times New Roman"/>
          <w:b w:val="0"/>
          <w:i w:val="0"/>
          <w:color w:val="000000"/>
          <w:sz w:val="28"/>
        </w:rPr>
        <w:t>Если срок истёк, а человек или машина ещё числятся на территории, строка остаётся доступной для отметки выхода/выезда; новый вход запрещён. После выхода такая строка остаётся на пять минут. Незакрытые отметки старше 48 часов требуют внимания оператора; исправление учёта доступно по отдельному праву и с причиной. Неизвестное время старого входа показывается явно и не считается автоматически превышением 48 часов. Отзыв, архив и потеря привязки к посту не возвращают охране видимость недоступных данных.</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человека по документу либо ФИО, проверка состава его данных, участия в заявках и отметок. Записи сопоставляются по документу, не по совпадению имени. Чтение закрыто отдельным правом, выдача справки — дополнительным правом и записью о раскрытии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Внутри расшифрованных бланка и слепка сведения документов представлены открытым текстом. Сам файл архива при включённом шифровании защищён; для чтения вне системы его сначала расшифровывают ключом получателя.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Внешние push-уведомления могут приходить и при закрытом сайте, если работник разрешил их браузеру и доставка настроена. Получение зависит от устройства, поддержки браузера, его фонового режима, сети и срока хранения сообщения у службы доставки; накопление и доставку каждого сообщения после включения устройства гарантировать нельзя. Авторитетное состояние заявок проверяют в самой системе. Набор событий задаёт тот же экран настроек, что и для перечня уведомлений: отдельного набора для внешней доставки нет.</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поддерживаемых версиях iOS и iPadOS внешние push-уведомления доступны веб-приложению, добавленному на экран «Домой». В обычной вкладке этот способ доставки недоступен. Встроенная инструкция системы предлагает путь через Safari; возможность добавления из другого браузера зависит от его версии и устройства. Сам сайт остаётся доступным без установки, а внешнюю доставку проверяют отдельно на целевом устройстве.</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об уведомлении работников об обработке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39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3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(требование исходников 1.26.9, сборочный образ 1.27.2),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сбрасываются статусы уже вышедших/выехавших, незакрытые входы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 и отработанные записи очереди почты; при отдельно заданном сроке также история сущностей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Обезличивание заявок по сроку хранения</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startApplicationRetentionWorker: при APPLICATION_RETENTION_MONTHS больше нуля обрабатывает завершённые, отозванные и отказанные заявки; даты, статус и решения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Веб-приложение загружает основные страницы при переходе к ним; состояние сессии остаётся общим. Библиотека формирования ZIP подключается при скачивании. Это уменьшает первоначальную загрузку, но не обещает фиксированного времени открытия: на него влияют сеть, устройство, данные и состояние кэша. Хешированные JS/CSS сжимаются и кэшируются отдельно от HTML; HTML сохраняет подстановку защитного nonce и не хранится как неизменный ресурс.</w:t>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111 таблиц по перечню моделей и статических SQL-определений исходного кода: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Это счётчик схемы в репозитории, не результат запроса к работающей БД; динамические партиции журналов в него не включены.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Приложенные файлы связаны с заявкой. При удалении заявки сведения о файлах снимаются вместе с ней, потерявшие связь файлы убирает почасовая задача. Отдельно действует обезличивание по сроку хранения: при его включении обработка затрагивает связанные персональные данные и файлы, поэтому сохранность исходных документов нельзя считать бессрочной. До включения срока владелец определяет основание и период хранения, порядок резервирования и восстановления.</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при AUDIT_RETENTION_MONTHS больше нуля также убирается автоматически; исключения защищают последние отметки прохода и записи корзины. При нулевом значении автоматическая уборка истории выключена.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Объём базы, файлов и журналов контролируется по фактической нагрузке; расчёт срока хранения нельзя основывать на неподтверждённом общем прогнозе роста.</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сохраняет ссылки на справочники; доступность персональных сведений дополнительно зависит от политики видимости и обезличивания по сроку хранения.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547 методов в 41 группе. Обычные JSON-ответы используют общую оболочку. Потоки файлов, служебные ответы и дополнительные маркеры отказа проверяются по конкретному методу, а не приводятся к JSON безусловно.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7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аннотаций исходного кода при сборке. Аннотации могут отставать от реализации; при интеграции проверяют действующий маршрут, обработчик и фактический ответ сервера.</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без постоянной записи в хранилище браузера: после закрытия вкладки он там не остаётся. Это сокращает срок его хранения, но само по себе не защищает от выполнения вредоносного сценария в открытой странице; для этого используются отдельные меры из подраздела 13.5.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 xml:space="preserve">Шифрование архива требует пары ключей. Штатный сценарий подготовки установки создаёт их и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отсутствие необходимых ключей блокирует запуск. Пустые исходные значения ключей в конфигурации не означают, что новая установка допускает незашифрованный архив. Такой режим возможен только при явно отключённом требовании на прежней установке.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обработке изображений сервер проверяет исходные размеры до полного декодирования: не более 25 миллионов пикселей (ширина × высота), независимо от размера сжатого файла. Изображение 6000 × 4000 имеет 24 миллиона пикселей, 6000 × 5000 — 30 миллионов и превышает лимит. Параметры размера файла и уменьшения длинной стороны действуют отдельно.</w:t>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Согласие пользователя системы за себя учитывается отдельно от подтверждения при подаче заявки. Для согласия пользователя фиксируются его вид, сетевой адрес, сведения о браузере и время подтверждения. Отзыв этого согласия также фиксируется временем. При подаче заявки заявитель подтверждает уведомление указанных лиц и правомерность передачи сведений; это не заменяет согласие пользователя своей учётной записи.</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Уведомление субъекта, чьи данные вносит заявитель.</w:t>
      </w:r>
      <w:r>
        <w:rPr>
          <w:rFonts w:ascii="Times New Roman" w:hAnsi="Times New Roman" w:cs="Times New Roman" w:eastAsia="Times New Roman"/>
          <w:b w:val="0"/>
          <w:i w:val="0"/>
          <w:color w:val="000000"/>
          <w:sz w:val="28"/>
        </w:rPr>
        <w:t xml:space="preserve"> Согласие пользователя за себя и уведомление человека, чьи данные вводятся в заявку, учитываются отдельно. В форме сотрудника заявитель подтверждает «Работник уведомлён об обработке персональных данных». Такое же подтверждение есть при создании записи в разделе «Сотрудники». Система сохраняет дату и учётную запись подтвердившего; значения ставит сервер, из запроса принимается факт подтверждения. Историческое имя поля в программном интерфейсе — </w:t>
      </w:r>
      <w:r>
        <w:rPr>
          <w:rFonts w:ascii="Courier New" w:hAnsi="Courier New" w:cs="Courier New" w:eastAsia="Courier New"/>
          <w:b w:val="0"/>
          <w:i w:val="0"/>
          <w:color w:val="000000"/>
          <w:sz w:val="24"/>
        </w:rPr>
        <w:t>pd_consent</w:t>
      </w:r>
      <w:r>
        <w:rPr>
          <w:rFonts w:ascii="Times New Roman" w:hAnsi="Times New Roman" w:cs="Times New Roman" w:eastAsia="Times New Roman"/>
          <w:b w:val="0"/>
          <w:i w:val="0"/>
          <w:color w:val="000000"/>
          <w:sz w:val="28"/>
        </w:rPr>
        <w:t>; подпись интерфейса описывает уведомление.</w:t>
      </w:r>
    </w:p>
    <w:p>
      <w:r>
        <w:rPr>
          <w:rFonts w:ascii="Times New Roman" w:hAnsi="Times New Roman" w:cs="Times New Roman" w:eastAsia="Times New Roman"/>
          <w:b w:val="0"/>
          <w:i w:val="0"/>
          <w:color w:val="000000"/>
          <w:sz w:val="28"/>
        </w:rPr>
        <w:t>В форме новой записи реестра отметка обязательна. При подаче заявки показ и обязательность поля определяет настройка вида вложения, см. руководство администратора, подраздел 12.4: обязательное поле проверяется сервером у каждой соответствующей строки. Снятие отметки при повторном сохранении не удаляет уже поставленную дату уведомления. Возражение против обработки учитывается отдельно и не снимается обычной правкой карточки.</w:t>
      </w:r>
    </w:p>
    <w:p>
      <w:r>
        <w:rPr>
          <w:rFonts w:ascii="Times New Roman" w:hAnsi="Times New Roman" w:cs="Times New Roman" w:eastAsia="Times New Roman"/>
          <w:b w:val="0"/>
          <w:i w:val="0"/>
          <w:color w:val="000000"/>
          <w:sz w:val="28"/>
        </w:rPr>
        <w:t>При выборе человека из реестра используется сохранённая отметка уведомления. При загрузке списка из бланка подтверждение задаётся для загружаемого списка: отдельной колонки под него в файле нет.</w:t>
      </w:r>
    </w:p>
    <w:p>
      <w:r>
        <w:rPr>
          <w:rFonts w:ascii="Times New Roman" w:hAnsi="Times New Roman" w:cs="Times New Roman" w:eastAsia="Times New Roman"/>
          <w:b w:val="0"/>
          <w:i w:val="0"/>
          <w:color w:val="000000"/>
          <w:sz w:val="28"/>
        </w:rPr>
        <w:t>Выдача и отзыв согласия пользователя за себя попадают в историю его учётной записи. В записи о выдаче сохраняется редакция текста; в записи об отзыве видно, отозвал пользователь согласие сам или это сделал администратор по его обращению. В разделе работников состояние этого согласия видно без открытия истории: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2674 теста в 544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5974 теста в 689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191 тест в 48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8839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r>
        <w:rPr>
          <w:rFonts w:ascii="Times New Roman" w:hAnsi="Times New Roman" w:cs="Times New Roman" w:eastAsia="Times New Roman"/>
          <w:b w:val="0"/>
          <w:i w:val="0"/>
          <w:color w:val="000000"/>
          <w:sz w:val="28"/>
        </w:rPr>
        <w:t>Количество в таблице — статический подсчёт объявлений тестов в исходниках, а не число выполненных случаев и не доказательство последнего успешного прогона. Параметризованные проверки могут создавать несколько случаев. Проверка чисел выполняется doc_facts.py по той же ревизии кода; результаты CI фиксируются отдельно.</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8"/>
        <w:gridCol w:w="5418"/>
      </w:tblGrid>
      <w:tr>
        <w:trPr>
          <w:tblHeader w:val="true"/>
          <w:cantSplit w:val="true"/>
        </w:trPr>
        <w:tc>
          <w:tcPr>
            <w:tcW w:type="dxa" w:w="3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37"/>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17"/>
          </w:tcPr>
          <w:p>
            <w:pPr>
              <w:spacing w:line="240" w:lineRule="auto" w:after="0"/>
              <w:ind w:firstLine="0"/>
              <w:jc w:val="left"/>
            </w:pPr>
            <w:r>
              <w:rPr>
                <w:rFonts w:ascii="Times New Roman" w:hAnsi="Times New Roman" w:cs="Times New Roman" w:eastAsia="Times New Roman"/>
                <w:b w:val="0"/>
                <w:i w:val="0"/>
                <w:color w:val="000000"/>
                <w:sz w:val="24"/>
              </w:rPr>
              <w:t>560540 строк в 2323 файлах</w:t>
            </w:r>
          </w:p>
        </w:tc>
      </w:tr>
      <w:tr>
        <w:trPr>
          <w:cantSplit w:val="true"/>
        </w:trPr>
        <w:tc>
          <w:tcPr>
            <w:tcW w:type="dxa" w:w="3937"/>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17"/>
          </w:tcPr>
          <w:p>
            <w:pPr>
              <w:spacing w:line="240" w:lineRule="auto" w:after="0"/>
              <w:ind w:firstLine="0"/>
              <w:jc w:val="left"/>
            </w:pPr>
            <w:r>
              <w:rPr>
                <w:rFonts w:ascii="Times New Roman" w:hAnsi="Times New Roman" w:cs="Times New Roman" w:eastAsia="Times New Roman"/>
                <w:b w:val="0"/>
                <w:i w:val="0"/>
                <w:color w:val="000000"/>
                <w:sz w:val="24"/>
              </w:rPr>
              <w:t>121489 строк без тестов: 221 службаа, 83 обработчика, 86 моделей данных</w:t>
            </w:r>
          </w:p>
        </w:tc>
      </w:tr>
      <w:tr>
        <w:trPr>
          <w:cantSplit w:val="true"/>
        </w:trPr>
        <w:tc>
          <w:tcPr>
            <w:tcW w:type="dxa" w:w="3937"/>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17"/>
          </w:tcPr>
          <w:p>
            <w:pPr>
              <w:spacing w:line="240" w:lineRule="auto" w:after="0"/>
              <w:ind w:firstLine="0"/>
              <w:jc w:val="left"/>
            </w:pPr>
            <w:r>
              <w:rPr>
                <w:rFonts w:ascii="Times New Roman" w:hAnsi="Times New Roman" w:cs="Times New Roman" w:eastAsia="Times New Roman"/>
                <w:b w:val="0"/>
                <w:i w:val="0"/>
                <w:color w:val="000000"/>
                <w:sz w:val="24"/>
              </w:rPr>
              <w:t>201287 строк: 40 экранов, 261 элемент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15.1</w:t>
      </w:r>
    </w:p>
    <w:tbl>
      <w:tblPr>
        <w:tblStyle w:val="TableGrid"/>
        <w:tblW w:type="auto" w:w="0"/>
        <w:jc w:val="center"/>
        <w:tblLayout w:type="fixed"/>
        <w:tblLook w:firstColumn="1" w:firstRow="1" w:lastColumn="0" w:lastRow="0" w:noHBand="0" w:noVBand="1" w:val="04A0"/>
        <w:tblLayout w:type="fixed"/>
      </w:tblPr>
      <w:tblGrid>
        <w:gridCol w:w="3938"/>
        <w:gridCol w:w="5418"/>
      </w:tblGrid>
      <w:tr>
        <w:trPr>
          <w:tblHeader w:val="true"/>
          <w:cantSplit w:val="true"/>
        </w:trPr>
        <w:tc>
          <w:tcPr>
            <w:tcW w:type="dxa" w:w="3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37"/>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17"/>
          </w:tcPr>
          <w:p>
            <w:pPr>
              <w:spacing w:line="240" w:lineRule="auto" w:after="0"/>
              <w:ind w:firstLine="0"/>
              <w:jc w:val="left"/>
            </w:pPr>
            <w:r>
              <w:rPr>
                <w:rFonts w:ascii="Times New Roman" w:hAnsi="Times New Roman" w:cs="Times New Roman" w:eastAsia="Times New Roman"/>
                <w:b w:val="0"/>
                <w:i w:val="0"/>
                <w:color w:val="000000"/>
                <w:sz w:val="24"/>
              </w:rPr>
              <w:t>547 в 41 группе</w:t>
            </w:r>
          </w:p>
        </w:tc>
      </w:tr>
      <w:tr>
        <w:trPr>
          <w:cantSplit w:val="true"/>
        </w:trPr>
        <w:tc>
          <w:tcPr>
            <w:tcW w:type="dxa" w:w="3937"/>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17"/>
          </w:tcPr>
          <w:p>
            <w:pPr>
              <w:spacing w:line="240" w:lineRule="auto" w:after="0"/>
              <w:ind w:firstLine="0"/>
              <w:jc w:val="left"/>
            </w:pPr>
            <w:r>
              <w:rPr>
                <w:rFonts w:ascii="Times New Roman" w:hAnsi="Times New Roman" w:cs="Times New Roman" w:eastAsia="Times New Roman"/>
                <w:b w:val="0"/>
                <w:i w:val="0"/>
                <w:color w:val="000000"/>
                <w:sz w:val="24"/>
              </w:rPr>
              <w:t>111</w:t>
            </w:r>
          </w:p>
        </w:tc>
      </w:tr>
      <w:tr>
        <w:trPr>
          <w:cantSplit w:val="true"/>
        </w:trPr>
        <w:tc>
          <w:tcPr>
            <w:tcW w:type="dxa" w:w="3937"/>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17"/>
          </w:tcPr>
          <w:p>
            <w:pPr>
              <w:spacing w:line="240" w:lineRule="auto" w:after="0"/>
              <w:ind w:firstLine="0"/>
              <w:jc w:val="left"/>
            </w:pPr>
            <w:r>
              <w:rPr>
                <w:rFonts w:ascii="Times New Roman" w:hAnsi="Times New Roman" w:cs="Times New Roman" w:eastAsia="Times New Roman"/>
                <w:b w:val="0"/>
                <w:i w:val="0"/>
                <w:color w:val="000000"/>
                <w:sz w:val="24"/>
              </w:rPr>
              <w:t>8839</w:t>
            </w:r>
          </w:p>
        </w:tc>
      </w:tr>
      <w:tr>
        <w:trPr>
          <w:cantSplit w:val="true"/>
        </w:trPr>
        <w:tc>
          <w:tcPr>
            <w:tcW w:type="dxa" w:w="3937"/>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17"/>
          </w:tcPr>
          <w:p>
            <w:pPr>
              <w:spacing w:line="240" w:lineRule="auto" w:after="0"/>
              <w:ind w:firstLine="0"/>
              <w:jc w:val="left"/>
            </w:pPr>
            <w:r>
              <w:rPr>
                <w:rFonts w:ascii="Times New Roman" w:hAnsi="Times New Roman" w:cs="Times New Roman" w:eastAsia="Times New Roman"/>
                <w:b w:val="0"/>
                <w:i w:val="0"/>
                <w:color w:val="000000"/>
                <w:sz w:val="24"/>
              </w:rPr>
              <w:t>344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Число одновременно работающих пользователей определяется целевым оборудованием и нагрузочным профилем: частотой поиска, выгрузок, открытых таблиц и обновлений. Значения параметров пула и таймаутов сами по себе не доказывают производительность; её подтверждают отдельными нагрузочными испытаниями.</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сроки, пересылка, незакрытые отметки, хранение данных, загрузка страниц и показатели исходного кода; уточнены границы проверок.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keepNext/>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2026-10-16T00:34:33Z</dcterms:created>
  <dcterms:modified xsi:type="dcterms:W3CDTF">2026-10-16T00:34:33Z</dcterms:modified>
  <cp:category>Эксплуатационная документация</cp:category>
</cp:coreProperties>
</file>