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1.61</w:t>
      </w:r>
    </w:p>
    <w:p>
      <w:pPr>
        <w:ind w:firstLine="0"/>
        <w:jc w:val="center"/>
      </w:pPr>
      <w:r>
        <w:rPr>
          <w:rFonts w:ascii="Times New Roman" w:hAnsi="Times New Roman" w:cs="Times New Roman" w:eastAsia="Times New Roman"/>
          <w:b w:val="0"/>
          <w:i w:val="0"/>
          <w:color w:val="000000"/>
          <w:sz w:val="26"/>
        </w:rPr>
        <w:t>Дата: 14.08.2026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59</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56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ответственный или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или ответственного вправе тот, кто за заявку отвечает.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Обязательность согласования устроена по тому же справочнику, но по другому признаку. Обязательным согласующим заявки становится не тот, кого выбрал заявитель, а тот, у кого в карточке организации или компании стоит соответствующая отметка: форма подачи такого выбора вообще не предлагает, она лишь показывает, кто из ответственных отмечен как обязательный, и подаёт заявку с тем составом, который в этот момент прочитан из справочника. Работник, не входящий в состав организации или компании, обязательным согласующим не становится ни при каких условиях, а список, присланный вместе с заявкой в обход формы, сервер только сверяет с составом справочника - назначить им обязательность нельзя, для этого список и не предназначен. При расхождении заявка не создаётся с урезанным составом согласующих: подача отклоняется целиком, и заявитель получает отказ вместо заявки, поданной не в том виде, в каком он её отправлял.</w:t>
      </w:r>
    </w:p>
    <w:p>
      <w:r>
        <w:rPr>
          <w:rFonts w:ascii="Times New Roman" w:hAnsi="Times New Roman" w:cs="Times New Roman" w:eastAsia="Times New Roman"/>
          <w:b w:val="0"/>
          <w:i w:val="0"/>
          <w:color w:val="000000"/>
          <w:sz w:val="28"/>
        </w:rPr>
        <w:t>Здесь и разница с получателями заявки, о которых сказано абзацем выше. Лишнего получателя система отбрасывает и заявку всё равно подаёт: получатель заявку только просматривает, и один посторонний в списке ничего не решает. С обязательным согласующим так поступить нельзя - он голосует, и от его решения зависит исход заявки, поэтому посторонний в этом списке не отбрасывается молча, а останавливает подачу целиком.</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r>
        <w:rPr>
          <w:rFonts w:ascii="Times New Roman" w:hAnsi="Times New Roman" w:cs="Times New Roman" w:eastAsia="Times New Roman"/>
          <w:b w:val="0"/>
          <w:i w:val="0"/>
          <w:color w:val="000000"/>
          <w:sz w:val="28"/>
        </w:rPr>
        <w:t>Решение по помеченному объекту принимает согласующий заявки либо принимающий - кто первым дошёл до заявки; отменить принятое решение вправе оба. Помимо пропуска, у принимающего есть второй путь: убрать объект из поданной заявки, указав причину. Он предусмотрен для случая, когда пропуск неприемлем: без него помеченный объект держал бы заявку целиком, и единственным выходом был бы отказ по ней. Объект при этом перестаёт действовать и уходит из перечней постов, но остаётся в заявке и в её истории - заявка сохраняется как документ.</w:t>
      </w:r>
    </w:p>
    <w:p>
      <w:r>
        <w:rPr>
          <w:rFonts w:ascii="Times New Roman" w:hAnsi="Times New Roman" w:cs="Times New Roman" w:eastAsia="Times New Roman"/>
          <w:b w:val="0"/>
          <w:i w:val="0"/>
          <w:color w:val="000000"/>
          <w:sz w:val="28"/>
        </w:rPr>
        <w:t>Внесение объекта в чёрный список действует и на уже оформленные данные: совпадающие люди и транспорт перестают действовать и исключаются из перечней постов, а в заявках остаются с отметкой о запрете. Перед внесением система показывает работнику, где объект фигурирует: сколько действующих записей перестанет действовать, из каких перечней постов они уйдут и в каких заявках встречаются. Перечень считается по тем же правилам, по которым выполняется само исключение.</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подходит к концу,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1.26,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09:00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дважды сообщается о приближении общего срока заявки - за три дня и накануне; общим сроком считается самая поздняя дата среди её активных вложений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Резервное копирование в этот перечень не входит. Его выполняет не прикладной сервер, а отдельный сценарий, который ставится на расписание средствами операционной системы при установке системы: ежесуточное копирование и ежемесячная проверка восстановимости копии. Порядок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511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 xml:space="preserve">Сбой самой системы в счёт неудачных попыток не идёт. Если вход не удался не из-за пароля, а из-за того, что база данных недоступна, исчерпан пул соединений или запрос не уложился в срок, система отвечает отдельным сообщением - </w:t>
      </w:r>
      <w:r>
        <w:rPr>
          <w:rFonts w:ascii="Times New Roman" w:hAnsi="Times New Roman" w:cs="Times New Roman" w:eastAsia="Times New Roman"/>
          <w:b/>
          <w:i w:val="0"/>
          <w:color w:val="000000"/>
          <w:sz w:val="28"/>
        </w:rPr>
        <w:t>«Вход временно недоступен из-за ошибки на сервере. Повторите попытку позже.»</w:t>
      </w:r>
      <w:r>
        <w:rPr>
          <w:rFonts w:ascii="Times New Roman" w:hAnsi="Times New Roman" w:cs="Times New Roman" w:eastAsia="Times New Roman"/>
          <w:b w:val="0"/>
          <w:i w:val="0"/>
          <w:color w:val="000000"/>
          <w:sz w:val="28"/>
        </w:rPr>
        <w:t xml:space="preserve"> - и лестницу блокировки не двигает. Иначе после аварии работники оказались бы заперты за то, чего не делали. Причина такой неудачи записывается и в журнал событий, и в системный журнал: журнал событий живёт в той же базе и при полной аварии не сохранится, а системный её переживает.</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Новый работник при первом входе встречает сразу два требования: согласиться с текстом и задать свой пароль взамен присланного.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Неудача входа по вине системы записывается в журнал входов без привязки к учётной записи - в этот момент система ещё не знает, кто именно пытался войти. В личной истории входов работника такие записи не показываются; их смотрят по имени учётной записи при разборе происшествия.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2 096 тестов в 372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4 618 тестов в 514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188 тестов в 47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6 902</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04"/>
        <w:gridCol w:w="5451"/>
      </w:tblGrid>
      <w:tr>
        <w:trPr>
          <w:tblHeader w:val="true"/>
          <w:cantSplit w:val="true"/>
        </w:trPr>
        <w:tc>
          <w:tcPr>
            <w:tcW w:type="dxa" w:w="39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479 059 строк в 1 742 файлах</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102 453 строки без тестов: 186 служб, 75 обработчиков, 81 модель данных</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199 296 строк: 39 экранов, 218 элементов</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511 в 39 группах</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6 902</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259</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ТЕХНИЧЕСКОЕ ОПИСАНИЕ СИСТЕМЫ</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2026-08-15T00:43:20Z</dcterms:created>
  <dcterms:modified xsi:type="dcterms:W3CDTF">2026-08-15T00:43:20Z</dcterms:modified>
  <cp:category>Эксплуатационная документация</cp:category>
</cp:coreProperties>
</file>