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1.36</w:t>
      </w:r>
    </w:p>
    <w:p>
      <w:pPr>
        <w:ind w:firstLine="0"/>
        <w:jc w:val="center"/>
      </w:pPr>
      <w:r>
        <w:rPr>
          <w:rFonts w:ascii="Times New Roman" w:hAnsi="Times New Roman" w:cs="Times New Roman" w:eastAsia="Times New Roman"/>
          <w:b w:val="0"/>
          <w:i w:val="0"/>
          <w:color w:val="000000"/>
          <w:sz w:val="26"/>
        </w:rPr>
        <w:t>Дата: 08.08.2026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498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а также перечень и скачивание файлов, приложенных к заявке.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1 741 тест в 307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3 813 тестов в 416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5 741</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51"/>
        <w:gridCol w:w="5405"/>
      </w:tblGrid>
      <w:tr>
        <w:trPr>
          <w:tblHeader w:val="true"/>
          <w:cantSplit w:val="true"/>
        </w:trPr>
        <w:tc>
          <w:tcPr>
            <w:tcW w:type="dxa" w:w="39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421 516 строк в 1 519 файлах</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89 904 строки без тестов: 166 служб, 71 обработчик, 78 моделей данных</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187 193 строки: 39 экранов, 210 элементов</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498 в 39 группах</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5 741</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214</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