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12.08.2026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Кто видит заявку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и согласующий - разные роли, и путать их не следует. 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 своей организации, и его работа описана в отдельном документе, «Руководство согласующего». Один и тот же работник может выступать в обеих ролях;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справа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Кто видит заявку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карточки открывает список участников заявки: заявитель, вы как принявший её в работу, согласующие и те, кому заявку открыли на просмотр.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строке - фамилия, подпись роли, должность, организация и компания. У согласующего рядом стоит его решение, а у того, без чьего голоса заявку не примут, - подпись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«Обязательно»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строку открывает карточку человека с рабочей почтой и телефоном: по ним связываются с согласующим напрямую, не разыскивая контакты через бюро. Незаполненный контакт показан прочерком, а работник, не давший согласия на обработку персональных данных, показан скрытым и без контактов.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Заявку можно передать дальше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«Переслать»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Круг получателей у работника бюро шире, чем у заявителя: маршрутизация заявок по чужим организациям и есть ваша работа, поэтому выбор не ограничен вашими коллегами.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4929"/>
        <w:gridCol w:w="1592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49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15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12.08.2026</w:t>
            </w: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раздел о том, кто видит заявку: участники с ролями и контактами, круг получателей при пересылке</w:t>
            </w: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4928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592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4928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592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