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3.8</w:t>
      </w:r>
    </w:p>
    <w:p>
      <w:pPr>
        <w:ind w:firstLine="0"/>
        <w:jc w:val="center"/>
      </w:pPr>
      <w:r>
        <w:rPr>
          <w:rFonts w:ascii="Times New Roman" w:hAnsi="Times New Roman" w:cs="Times New Roman" w:eastAsia="Times New Roman"/>
          <w:b w:val="0"/>
          <w:i w:val="0"/>
          <w:color w:val="000000"/>
          <w:sz w:val="26"/>
        </w:rPr>
        <w:t>Дата: 31.07.2026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Переименование базы данных</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Очистка накопленных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64</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9.8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9.7.</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232"/>
        <w:gridCol w:w="1418"/>
        <w:gridCol w:w="4706"/>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6.3</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2385"/>
        <w:gridCol w:w="3994"/>
        <w:gridCol w:w="2977"/>
      </w:tblGrid>
      <w:tr>
        <w:trPr>
          <w:tblHeader w:val="true"/>
          <w:cantSplit w:val="true"/>
        </w:trPr>
        <w:tc>
          <w:tcPr>
            <w:tcW w:type="dxa" w:w="23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39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3994"/>
          </w:tcPr>
          <w:p>
            <w:pPr>
              <w:spacing w:line="240" w:lineRule="auto" w:after="0"/>
              <w:ind w:firstLine="0"/>
              <w:jc w:val="left"/>
            </w:pPr>
            <w:r>
              <w:rPr>
                <w:rFonts w:ascii="Courier New" w:hAnsi="Courier New" w:cs="Courier New" w:eastAsia="Courier New"/>
                <w:b w:val="0"/>
                <w:i w:val="0"/>
                <w:color w:val="000000"/>
                <w:sz w:val="20"/>
              </w:rPr>
              <w:t>debug</w:t>
            </w:r>
          </w:p>
        </w:tc>
        <w:tc>
          <w:tcPr>
            <w:tcW w:type="dxa" w:w="2976"/>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 xml:space="preserve">Разворачивается, доступна по адресу </w:t>
            </w:r>
            <w:r>
              <w:rPr>
                <w:rFonts w:ascii="Courier New" w:hAnsi="Courier New" w:cs="Courier New" w:eastAsia="Courier New"/>
                <w:b w:val="0"/>
                <w:i w:val="0"/>
                <w:color w:val="000000"/>
                <w:sz w:val="20"/>
              </w:rPr>
              <w:t>/pgadmin/</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2981"/>
        <w:gridCol w:w="6375"/>
      </w:tblGrid>
      <w:tr>
        <w:trPr>
          <w:tblHeader w:val="true"/>
          <w:cantSplit w:val="true"/>
        </w:trPr>
        <w:tc>
          <w:tcPr>
            <w:tcW w:type="dxa" w:w="298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374"/>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deploy-backup</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deploy-cleanup</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раскладка внутри каталога и предельный объём настраиваются в разделе администрирования.</w:t>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Выгрузка останавливается, когда на разделе остаётся менее двух гигабайт свободного места либо когда архив упёрся в заданный предельный объём. Заявки при этом принимаются обычным порядком: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Отдать каталог в сетевой доступ следует только на чтение: система пишет в него сама, а правка файла снаружи будет затёрта при следующей выгрузке этой заявки.</w:t>
      </w:r>
    </w:p>
    <w:p>
      <w:pPr>
        <w:pStyle w:val="Heading2"/>
        <w:ind w:firstLine="0"/>
      </w:pPr>
      <w:r>
        <w:rPr>
          <w:rFonts w:ascii="Times New Roman" w:hAnsi="Times New Roman" w:cs="Times New Roman" w:eastAsia="Times New Roman"/>
          <w:b/>
          <w:i w:val="0"/>
          <w:color w:val="000000"/>
          <w:sz w:val="28"/>
        </w:rPr>
        <w:t>9.7.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и прочитанные уведомления.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по умолчанию и там, и там 30 суток. Менять их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Оба параметра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 с правами суперпользователя.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Строка добавляется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echo 'BACKUP_AGE_RECIPIENT=age1...' &gt;&gt;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вторая команда выводит строку с вашим ключом. Вместо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подставляется значение, полученное на шаге 1.</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от пользователя с правом обращаться к Docker.</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33"/>
        <w:gridCol w:w="5523"/>
      </w:tblGrid>
      <w:tr>
        <w:trPr>
          <w:tblHeader w:val="true"/>
          <w:cantSplit w:val="true"/>
        </w:trPr>
        <w:tc>
          <w:tcPr>
            <w:tcW w:type="dxa" w:w="38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5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Свежесть и объём копий</w:t>
            </w:r>
          </w:p>
        </w:tc>
        <w:tc>
          <w:tcPr>
            <w:tcW w:type="dxa" w:w="5522"/>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52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52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537"/>
        <w:gridCol w:w="3002"/>
        <w:gridCol w:w="3816"/>
      </w:tblGrid>
      <w:tr>
        <w:trPr>
          <w:tblHeader w:val="true"/>
          <w:cantSplit w:val="true"/>
        </w:trPr>
        <w:tc>
          <w:tcPr>
            <w:tcW w:type="dxa" w:w="25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3304"/>
        <w:gridCol w:w="6051"/>
      </w:tblGrid>
      <w:tr>
        <w:trPr>
          <w:tblHeader w:val="true"/>
          <w:cantSplit w:val="true"/>
        </w:trPr>
        <w:tc>
          <w:tcPr>
            <w:tcW w:type="dxa" w:w="33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60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BACKUP_AGE_RECIPIENT не задан</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не шифруются и содержат персональные данные в открытом виде</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2304"/>
        <w:gridCol w:w="3611"/>
        <w:gridCol w:w="3440"/>
      </w:tblGrid>
      <w:tr>
        <w:trPr>
          <w:tblHeader w:val="true"/>
          <w:cantSplit w:val="true"/>
        </w:trPr>
        <w:tc>
          <w:tcPr>
            <w:tcW w:type="dxa" w:w="23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36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44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30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3611"/>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3440"/>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230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3611"/>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3440"/>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230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3611"/>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3440"/>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Перечень доступных копий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-lh /var/backups/systemburo/daily/buro-db-*</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AGE_IDENTITY=/путь/к/buro-backup.key \</w:t>
      </w:r>
      <w:r>
        <w:br/>
      </w:r>
      <w:r>
        <w:rPr>
          <w:rFonts w:ascii="Courier New" w:hAnsi="Courier New" w:cs="Courier New" w:eastAsia="Courier New"/>
          <w:b w:val="0"/>
          <w:i w:val="0"/>
          <w:color w:val="000000"/>
          <w:sz w:val="20"/>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p>
      <w:r>
        <w:rPr>
          <w:rFonts w:ascii="Times New Roman" w:hAnsi="Times New Roman" w:cs="Times New Roman" w:eastAsia="Times New Roman"/>
          <w:b w:val="0"/>
          <w:i w:val="0"/>
          <w:color w:val="000000"/>
          <w:sz w:val="28"/>
        </w:rPr>
        <w:t>Если восстановление прервётся, система останется остановленной, а режим технических работ - включённым. Скрипт печатает при этом две команды: запуск служб и снятие режима. Выполните их после того, как разберётесь с причиной; состояние базы проверяется теми же счётчиками, что выводит проверка восстановимости.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876"/>
        <w:gridCol w:w="1921"/>
        <w:gridCol w:w="4558"/>
      </w:tblGrid>
      <w:tr>
        <w:trPr>
          <w:tblHeader w:val="true"/>
          <w:cantSplit w:val="true"/>
        </w:trPr>
        <w:tc>
          <w:tcPr>
            <w:tcW w:type="dxa" w:w="28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19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9.8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369"/>
        <w:gridCol w:w="3232"/>
        <w:gridCol w:w="3755"/>
      </w:tblGrid>
      <w:tr>
        <w:trPr>
          <w:tblHeader w:val="true"/>
          <w:cantSplit w:val="true"/>
        </w:trPr>
        <w:tc>
          <w:tcPr>
            <w:tcW w:type="dxa" w:w="23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7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754"/>
          </w:tcPr>
          <w:p>
            <w:pPr>
              <w:spacing w:line="240" w:lineRule="auto" w:after="0"/>
              <w:ind w:firstLine="0"/>
              <w:jc w:val="left"/>
            </w:pPr>
            <w:r>
              <w:rPr>
                <w:rFonts w:ascii="Courier New" w:hAnsi="Courier New" w:cs="Courier New" w:eastAsia="Courier New"/>
                <w:b w:val="0"/>
                <w:i w:val="0"/>
                <w:color w:val="000000"/>
                <w:sz w:val="20"/>
              </w:rPr>
              <w:t>docker system prune -a --filter "until=168h"</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9.8</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deploy-backup-status</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для адреса потока событий буферизация отключена и увеличен предельный срок ожидания.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221"/>
        <w:gridCol w:w="2287"/>
        <w:gridCol w:w="4847"/>
      </w:tblGrid>
      <w:tr>
        <w:trPr>
          <w:tblHeader w:val="true"/>
          <w:cantSplit w:val="true"/>
        </w:trPr>
        <w:tc>
          <w:tcPr>
            <w:tcW w:type="dxa" w:w="22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8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221"/>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87"/>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847"/>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221"/>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87"/>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847"/>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221"/>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87"/>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847"/>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221"/>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8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847"/>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221"/>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87"/>
          </w:tcPr>
          <w:p>
            <w:pPr>
              <w:spacing w:line="240" w:lineRule="auto" w:after="0"/>
              <w:ind w:firstLine="0"/>
              <w:jc w:val="left"/>
            </w:pPr>
            <w:r>
              <w:rPr>
                <w:rFonts w:ascii="Courier New" w:hAnsi="Courier New" w:cs="Courier New" w:eastAsia="Courier New"/>
                <w:b w:val="0"/>
                <w:i w:val="0"/>
                <w:color w:val="000000"/>
                <w:sz w:val="20"/>
              </w:rPr>
              <w:t>0.0.0.0</w:t>
            </w:r>
          </w:p>
        </w:tc>
        <w:tc>
          <w:tcPr>
            <w:tcW w:type="dxa" w:w="4847"/>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Б.1</w:t>
      </w:r>
    </w:p>
    <w:tbl>
      <w:tblPr>
        <w:tblStyle w:val="TableGrid"/>
        <w:tblW w:type="auto" w:w="0"/>
        <w:jc w:val="center"/>
        <w:tblLayout w:type="fixed"/>
        <w:tblLook w:firstColumn="1" w:firstRow="1" w:lastColumn="0" w:lastRow="0" w:noHBand="0" w:noVBand="1" w:val="04A0"/>
        <w:tblLayout w:type="fixed"/>
      </w:tblPr>
      <w:tblGrid>
        <w:gridCol w:w="2495"/>
        <w:gridCol w:w="1559"/>
        <w:gridCol w:w="530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53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1559"/>
          </w:tcPr>
          <w:p>
            <w:pPr>
              <w:spacing w:line="240" w:lineRule="auto" w:after="0"/>
              <w:ind w:firstLine="0"/>
              <w:jc w:val="left"/>
            </w:pPr>
            <w:r>
              <w:rPr>
                <w:rFonts w:ascii="Courier New" w:hAnsi="Courier New" w:cs="Courier New" w:eastAsia="Courier New"/>
                <w:b w:val="0"/>
                <w:i w:val="0"/>
                <w:color w:val="000000"/>
                <w:sz w:val="20"/>
              </w:rPr>
              <w:t>8090</w:t>
            </w:r>
          </w:p>
        </w:tc>
        <w:tc>
          <w:tcPr>
            <w:tcW w:type="dxa" w:w="5301"/>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1559"/>
          </w:tcPr>
          <w:p>
            <w:pPr>
              <w:spacing w:line="240" w:lineRule="auto" w:after="0"/>
              <w:ind w:firstLine="0"/>
              <w:jc w:val="left"/>
            </w:pPr>
            <w:r>
              <w:rPr>
                <w:rFonts w:ascii="Courier New" w:hAnsi="Courier New" w:cs="Courier New" w:eastAsia="Courier New"/>
                <w:b w:val="0"/>
                <w:i w:val="0"/>
                <w:color w:val="000000"/>
                <w:sz w:val="20"/>
              </w:rPr>
              <w:t>info</w:t>
            </w:r>
          </w:p>
        </w:tc>
        <w:tc>
          <w:tcPr>
            <w:tcW w:type="dxa" w:w="5301"/>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530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598"/>
        <w:gridCol w:w="1594"/>
        <w:gridCol w:w="4163"/>
      </w:tblGrid>
      <w:tr>
        <w:trPr>
          <w:tblHeader w:val="true"/>
          <w:cantSplit w:val="true"/>
        </w:trPr>
        <w:tc>
          <w:tcPr>
            <w:tcW w:type="dxa" w:w="35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1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98"/>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1594"/>
          </w:tcPr>
          <w:p>
            <w:pPr>
              <w:spacing w:line="240" w:lineRule="auto" w:after="0"/>
              <w:ind w:firstLine="0"/>
              <w:jc w:val="left"/>
            </w:pPr>
            <w:r>
              <w:rPr>
                <w:rFonts w:ascii="Courier New" w:hAnsi="Courier New" w:cs="Courier New" w:eastAsia="Courier New"/>
                <w:b w:val="0"/>
                <w:i w:val="0"/>
                <w:color w:val="000000"/>
                <w:sz w:val="20"/>
              </w:rPr>
              <w:t>200</w:t>
            </w:r>
          </w:p>
        </w:tc>
        <w:tc>
          <w:tcPr>
            <w:tcW w:type="dxa" w:w="4163"/>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598"/>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1594"/>
          </w:tcPr>
          <w:p>
            <w:pPr>
              <w:spacing w:line="240" w:lineRule="auto" w:after="0"/>
              <w:ind w:firstLine="0"/>
              <w:jc w:val="left"/>
            </w:pPr>
            <w:r>
              <w:rPr>
                <w:rFonts w:ascii="Courier New" w:hAnsi="Courier New" w:cs="Courier New" w:eastAsia="Courier New"/>
                <w:b w:val="0"/>
                <w:i w:val="0"/>
                <w:color w:val="000000"/>
                <w:sz w:val="20"/>
              </w:rPr>
              <w:t>60</w:t>
            </w:r>
          </w:p>
        </w:tc>
        <w:tc>
          <w:tcPr>
            <w:tcW w:type="dxa" w:w="4163"/>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Б.4</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Б.5</w:t>
      </w:r>
    </w:p>
    <w:tbl>
      <w:tblPr>
        <w:tblStyle w:val="TableGrid"/>
        <w:tblW w:type="auto" w:w="0"/>
        <w:jc w:val="center"/>
        <w:tblLayout w:type="fixed"/>
        <w:tblLook w:firstColumn="1" w:firstRow="1" w:lastColumn="0" w:lastRow="0" w:noHBand="0" w:noVBand="1" w:val="04A0"/>
        <w:tblLayout w:type="fixed"/>
      </w:tblPr>
      <w:tblGrid>
        <w:gridCol w:w="4264"/>
        <w:gridCol w:w="1559"/>
        <w:gridCol w:w="353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5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59"/>
          </w:tcPr>
          <w:p>
            <w:pPr>
              <w:spacing w:line="240" w:lineRule="auto" w:after="0"/>
              <w:ind w:firstLine="0"/>
              <w:jc w:val="left"/>
            </w:pPr>
            <w:r>
              <w:rPr>
                <w:rFonts w:ascii="Courier New" w:hAnsi="Courier New" w:cs="Courier New" w:eastAsia="Courier New"/>
                <w:b w:val="0"/>
                <w:i w:val="0"/>
                <w:color w:val="000000"/>
                <w:sz w:val="20"/>
              </w:rPr>
              <w:t>60</w:t>
            </w:r>
          </w:p>
        </w:tc>
        <w:tc>
          <w:tcPr>
            <w:tcW w:type="dxa" w:w="3532"/>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232"/>
        <w:gridCol w:w="3674"/>
        <w:gridCol w:w="244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674"/>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пусто - копии не шифруются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674"/>
          </w:tcPr>
          <w:p>
            <w:pPr>
              <w:spacing w:line="240" w:lineRule="auto" w:after="0"/>
              <w:ind w:firstLine="0"/>
              <w:jc w:val="left"/>
            </w:pPr>
            <w:r>
              <w:rPr>
                <w:rFonts w:ascii="Courier New" w:hAnsi="Courier New" w:cs="Courier New" w:eastAsia="Courier New"/>
                <w:b w:val="0"/>
                <w:i w:val="0"/>
                <w:color w:val="000000"/>
                <w:sz w:val="20"/>
              </w:rPr>
              <w:t>7</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674"/>
          </w:tcPr>
          <w:p>
            <w:pPr>
              <w:spacing w:line="240" w:lineRule="auto" w:after="0"/>
              <w:ind w:firstLine="0"/>
              <w:jc w:val="left"/>
            </w:pPr>
            <w:r>
              <w:rPr>
                <w:rFonts w:ascii="Courier New" w:hAnsi="Courier New" w:cs="Courier New" w:eastAsia="Courier New"/>
                <w:b w:val="0"/>
                <w:i w:val="0"/>
                <w:color w:val="000000"/>
                <w:sz w:val="20"/>
              </w:rPr>
              <w:t>4</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674"/>
          </w:tcPr>
          <w:p>
            <w:pPr>
              <w:spacing w:line="240" w:lineRule="auto" w:after="0"/>
              <w:ind w:firstLine="0"/>
              <w:jc w:val="left"/>
            </w:pPr>
            <w:r>
              <w:rPr>
                <w:rFonts w:ascii="Courier New" w:hAnsi="Courier New" w:cs="Courier New" w:eastAsia="Courier New"/>
                <w:b w:val="0"/>
                <w:i w:val="0"/>
                <w:color w:val="000000"/>
                <w:sz w:val="20"/>
              </w:rPr>
              <w:t>6</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674"/>
          </w:tcPr>
          <w:p>
            <w:pPr>
              <w:spacing w:line="240" w:lineRule="auto" w:after="0"/>
              <w:ind w:firstLine="0"/>
              <w:jc w:val="left"/>
            </w:pPr>
            <w:r>
              <w:rPr>
                <w:rFonts w:ascii="Courier New" w:hAnsi="Courier New" w:cs="Courier New" w:eastAsia="Courier New"/>
                <w:b w:val="0"/>
                <w:i w:val="0"/>
                <w:color w:val="000000"/>
                <w:sz w:val="20"/>
              </w:rPr>
              <w:t>weekly</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поведение поиска, требования к версии Docker Compose, порядок развёртывания стенда и снятия показателей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объявляемые сроки и контакты, снятие режима по истечении срока,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 в карточке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вопрос о повторном запросе согласия при сохранении изменённого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команда очистки накопленных данных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работником и администратором, запись выдачи и отзыва в историю учётной записи; уточнён состав сквозного поиска;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распознавание опечаток работает при поиске внутри раздела, а сквозной поиск ищет по фрагменту строки и понимает неверную раскладку и написание госномера;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 а не только фамилия, имя и отчество;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 исправлена команда проверки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копирования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 и подготовка каталога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 съехавшие после добавления нового подраздела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