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5C12B" w14:textId="6F6A799E" w:rsidR="00FA4C3F" w:rsidRDefault="00FA4C3F" w:rsidP="00FA4C3F">
      <w:pPr>
        <w:jc w:val="center"/>
        <w:rPr>
          <w:b/>
        </w:rPr>
      </w:pPr>
      <w:r>
        <w:rPr>
          <w:b/>
        </w:rPr>
        <w:t xml:space="preserve">VOTER SUPPRESSION AND CONGRESSIONAL REPRESENTATION AS </w:t>
      </w:r>
    </w:p>
    <w:p w14:paraId="6FBD7D46" w14:textId="377F1497" w:rsidR="00FA4C3F" w:rsidRDefault="00FA4C3F" w:rsidP="00D95BFE">
      <w:pPr>
        <w:jc w:val="center"/>
        <w:rPr>
          <w:b/>
        </w:rPr>
      </w:pPr>
      <w:r>
        <w:rPr>
          <w:b/>
        </w:rPr>
        <w:t xml:space="preserve">PROXIMAL MOVEMENT OUTCOMES </w:t>
      </w:r>
    </w:p>
    <w:p w14:paraId="5168BC53" w14:textId="77777777" w:rsidR="00FA4C3F" w:rsidRDefault="00FA4C3F" w:rsidP="00D95BFE">
      <w:pPr>
        <w:jc w:val="center"/>
        <w:rPr>
          <w:b/>
        </w:rPr>
      </w:pPr>
    </w:p>
    <w:p w14:paraId="7F918E9C" w14:textId="0E18FB39" w:rsidR="00FA4C3F" w:rsidRDefault="00FA4C3F" w:rsidP="00D95BFE">
      <w:pPr>
        <w:jc w:val="center"/>
        <w:rPr>
          <w:b/>
        </w:rPr>
      </w:pPr>
      <w:r>
        <w:rPr>
          <w:b/>
        </w:rPr>
        <w:t xml:space="preserve">Burrel Vann </w:t>
      </w:r>
      <w:proofErr w:type="spellStart"/>
      <w:r>
        <w:rPr>
          <w:b/>
        </w:rPr>
        <w:t>Jr</w:t>
      </w:r>
      <w:proofErr w:type="spellEnd"/>
    </w:p>
    <w:p w14:paraId="0C106012" w14:textId="77777777" w:rsidR="00FA4C3F" w:rsidRDefault="00FA4C3F" w:rsidP="00D95BFE">
      <w:pPr>
        <w:jc w:val="center"/>
        <w:rPr>
          <w:b/>
        </w:rPr>
      </w:pPr>
    </w:p>
    <w:p w14:paraId="13FA5F46" w14:textId="77777777" w:rsidR="00FA4C3F" w:rsidRDefault="00FA4C3F" w:rsidP="00FA4C3F">
      <w:pPr>
        <w:rPr>
          <w:i/>
        </w:rPr>
      </w:pPr>
      <w:r>
        <w:rPr>
          <w:i/>
        </w:rPr>
        <w:t>Keywords: Voter Suppression, Electoral Outcomes, Social Movements, Tea Party</w:t>
      </w:r>
    </w:p>
    <w:p w14:paraId="4D03567C" w14:textId="77777777" w:rsidR="00FA4C3F" w:rsidRDefault="00FA4C3F" w:rsidP="00FA4C3F">
      <w:pPr>
        <w:rPr>
          <w:i/>
        </w:rPr>
      </w:pPr>
    </w:p>
    <w:p w14:paraId="57679043" w14:textId="568F2D6E" w:rsidR="00327F88" w:rsidRDefault="00FA4C3F" w:rsidP="00FA4C3F">
      <w:pPr>
        <w:jc w:val="center"/>
        <w:rPr>
          <w:b/>
        </w:rPr>
      </w:pPr>
      <w:bookmarkStart w:id="0" w:name="_GoBack"/>
      <w:bookmarkEnd w:id="0"/>
      <w:r>
        <w:rPr>
          <w:b/>
        </w:rPr>
        <w:br w:type="column"/>
      </w:r>
      <w:r w:rsidR="001220FB">
        <w:rPr>
          <w:b/>
        </w:rPr>
        <w:lastRenderedPageBreak/>
        <w:t xml:space="preserve">VOTER </w:t>
      </w:r>
      <w:r w:rsidR="0047749A">
        <w:rPr>
          <w:b/>
        </w:rPr>
        <w:t xml:space="preserve">SUPPRESSION AND </w:t>
      </w:r>
      <w:r w:rsidR="00B87CC5">
        <w:rPr>
          <w:b/>
        </w:rPr>
        <w:t xml:space="preserve">CONGRESSIONAL </w:t>
      </w:r>
      <w:r w:rsidR="00AF6DBA">
        <w:rPr>
          <w:b/>
        </w:rPr>
        <w:t>REPRESENT</w:t>
      </w:r>
      <w:r w:rsidR="00284793">
        <w:rPr>
          <w:b/>
        </w:rPr>
        <w:t>ATION</w:t>
      </w:r>
      <w:r w:rsidR="001220FB">
        <w:rPr>
          <w:b/>
        </w:rPr>
        <w:t xml:space="preserve"> AS </w:t>
      </w:r>
      <w:r w:rsidR="00997FDF">
        <w:rPr>
          <w:b/>
        </w:rPr>
        <w:t>PROXIMAL</w:t>
      </w:r>
      <w:r w:rsidR="000A141F">
        <w:rPr>
          <w:b/>
        </w:rPr>
        <w:t xml:space="preserve"> MOVEMENT OUTCOMES</w:t>
      </w:r>
    </w:p>
    <w:p w14:paraId="3B1641BE" w14:textId="77777777" w:rsidR="0047749A" w:rsidRPr="00327F88" w:rsidRDefault="0047749A" w:rsidP="0047749A">
      <w:pPr>
        <w:jc w:val="center"/>
        <w:rPr>
          <w:b/>
        </w:rPr>
      </w:pPr>
    </w:p>
    <w:p w14:paraId="6E73B402" w14:textId="504C7830" w:rsidR="009236F7" w:rsidRPr="00BC028E" w:rsidRDefault="00521C3B" w:rsidP="0047749A">
      <w:pPr>
        <w:spacing w:line="480" w:lineRule="auto"/>
      </w:pPr>
      <w:r>
        <w:t>In recent years, there has been a proliferation of</w:t>
      </w:r>
      <w:r w:rsidR="00B87CC5">
        <w:t xml:space="preserve"> research on social movements. </w:t>
      </w:r>
      <w:r>
        <w:t xml:space="preserve">While focused mainly on the emergence of social movements (Morris 1986, </w:t>
      </w:r>
      <w:proofErr w:type="spellStart"/>
      <w:r>
        <w:t>McAdam</w:t>
      </w:r>
      <w:proofErr w:type="spellEnd"/>
      <w:r>
        <w:t xml:space="preserve"> 1982) or participation i</w:t>
      </w:r>
      <w:r w:rsidR="004311E8">
        <w:t>n collective action (</w:t>
      </w:r>
      <w:proofErr w:type="spellStart"/>
      <w:r w:rsidR="004311E8">
        <w:t>McAdam</w:t>
      </w:r>
      <w:proofErr w:type="spellEnd"/>
      <w:r w:rsidR="004311E8">
        <w:t xml:space="preserve"> 1988</w:t>
      </w:r>
      <w:r>
        <w:t xml:space="preserve">; Snow, </w:t>
      </w:r>
      <w:proofErr w:type="spellStart"/>
      <w:r>
        <w:t>Zurcher</w:t>
      </w:r>
      <w:proofErr w:type="spellEnd"/>
      <w:r>
        <w:t xml:space="preserve"> and </w:t>
      </w:r>
      <w:proofErr w:type="spellStart"/>
      <w:r>
        <w:t>Ekland</w:t>
      </w:r>
      <w:proofErr w:type="spellEnd"/>
      <w:r>
        <w:t xml:space="preserve">-Olson 1980; Snow, </w:t>
      </w:r>
      <w:proofErr w:type="spellStart"/>
      <w:r>
        <w:t>Rochford</w:t>
      </w:r>
      <w:proofErr w:type="spellEnd"/>
      <w:r>
        <w:t xml:space="preserve">, Worden, and </w:t>
      </w:r>
      <w:proofErr w:type="spellStart"/>
      <w:r w:rsidRPr="006E7A50">
        <w:t>Benford</w:t>
      </w:r>
      <w:proofErr w:type="spellEnd"/>
      <w:r>
        <w:t xml:space="preserve"> 1986), re</w:t>
      </w:r>
      <w:r w:rsidR="00FB7338">
        <w:t>cent scholarship demonstrates how</w:t>
      </w:r>
      <w:r>
        <w:t xml:space="preserve"> m</w:t>
      </w:r>
      <w:r w:rsidR="00FB7338">
        <w:t xml:space="preserve">ovements </w:t>
      </w:r>
      <w:r w:rsidR="007C1365">
        <w:t>matter (</w:t>
      </w:r>
      <w:proofErr w:type="spellStart"/>
      <w:r w:rsidR="007C1365">
        <w:t>Amenta</w:t>
      </w:r>
      <w:proofErr w:type="spellEnd"/>
      <w:r w:rsidR="007C1365">
        <w:t xml:space="preserve"> 2006) </w:t>
      </w:r>
      <w:r>
        <w:t xml:space="preserve">by highlighting the consequences of social movements. What is more, </w:t>
      </w:r>
      <w:r w:rsidR="00FB7338">
        <w:t>scholars of social movements</w:t>
      </w:r>
      <w:r>
        <w:t xml:space="preserve"> pay particular attention to </w:t>
      </w:r>
      <w:r w:rsidR="00572ABA">
        <w:t xml:space="preserve">the political </w:t>
      </w:r>
      <w:r>
        <w:t>outcomes</w:t>
      </w:r>
      <w:r w:rsidR="003A31A8">
        <w:t xml:space="preserve"> of </w:t>
      </w:r>
      <w:r w:rsidR="00572ABA">
        <w:t>movement</w:t>
      </w:r>
      <w:r w:rsidR="003A31A8">
        <w:t>s</w:t>
      </w:r>
      <w:r>
        <w:t xml:space="preserve"> (</w:t>
      </w:r>
      <w:proofErr w:type="spellStart"/>
      <w:r>
        <w:t>Gamson</w:t>
      </w:r>
      <w:proofErr w:type="spellEnd"/>
      <w:r>
        <w:t xml:space="preserve"> 1990; </w:t>
      </w:r>
      <w:proofErr w:type="spellStart"/>
      <w:r>
        <w:t>Guigni</w:t>
      </w:r>
      <w:proofErr w:type="spellEnd"/>
      <w:r>
        <w:t xml:space="preserve"> 1998; </w:t>
      </w:r>
      <w:proofErr w:type="spellStart"/>
      <w:r>
        <w:t>Amenta</w:t>
      </w:r>
      <w:proofErr w:type="spellEnd"/>
      <w:r>
        <w:t xml:space="preserve"> et al. 2010)</w:t>
      </w:r>
      <w:r w:rsidR="00572ABA">
        <w:t xml:space="preserve"> and in so doing, have e</w:t>
      </w:r>
      <w:r w:rsidR="007C1365">
        <w:t xml:space="preserve">xplicitly focused on distal </w:t>
      </w:r>
      <w:r w:rsidR="00572ABA">
        <w:t>outcomes: the enactment of social policy.</w:t>
      </w:r>
      <w:r w:rsidR="00FB7338">
        <w:t xml:space="preserve"> </w:t>
      </w:r>
      <w:r w:rsidR="005E77EE">
        <w:t>However, the explicit focus on policy enactment as an outcome is so far removed</w:t>
      </w:r>
      <w:r w:rsidR="007C1365">
        <w:t xml:space="preserve"> </w:t>
      </w:r>
      <w:r w:rsidR="005E77EE">
        <w:t xml:space="preserve">from movement activity (usually decades between protest and policy enactment) that it becomes much more difficult to draw the causal influence arrow back to a particular movement. </w:t>
      </w:r>
      <w:r w:rsidR="007B7CF8">
        <w:t>G</w:t>
      </w:r>
      <w:r w:rsidR="005E77EE">
        <w:t xml:space="preserve">iven this difficulty, the current project will explore movement outcomes that are more proximal to movement activity: the suppression of voter turnout and congressional representation. In addition, this project will explore the </w:t>
      </w:r>
      <w:r w:rsidR="00BC028E">
        <w:t>tactics</w:t>
      </w:r>
      <w:r w:rsidR="005E77EE">
        <w:t xml:space="preserve"> of </w:t>
      </w:r>
      <w:r w:rsidR="00FB7338">
        <w:t>the Tea Party; a contemporary movement</w:t>
      </w:r>
      <w:r w:rsidR="007C1365">
        <w:t xml:space="preserve"> </w:t>
      </w:r>
      <w:r w:rsidR="00FB7338">
        <w:t xml:space="preserve">of the conservative brand that </w:t>
      </w:r>
      <w:r w:rsidR="005E77EE">
        <w:t>has received little attention</w:t>
      </w:r>
      <w:r w:rsidR="00FB7338">
        <w:t xml:space="preserve"> in social movement literature. By focusi</w:t>
      </w:r>
      <w:r w:rsidR="007C1365">
        <w:t xml:space="preserve">ng on the immediate </w:t>
      </w:r>
      <w:r w:rsidR="00FB7338">
        <w:t>effects of movement activity, this project will demonstrate the processes by which movements influence policy through their more proximal influence on politics.</w:t>
      </w:r>
      <w:r w:rsidR="00BC028E">
        <w:t xml:space="preserve"> </w:t>
      </w:r>
      <w:r w:rsidR="00173A91">
        <w:t>This project explore</w:t>
      </w:r>
      <w:r w:rsidR="00BC028E">
        <w:t>s</w:t>
      </w:r>
      <w:r w:rsidR="00173A91">
        <w:t xml:space="preserve"> the ways in which the Tea Party movement influenced the electoral pr</w:t>
      </w:r>
      <w:r w:rsidR="007B7CF8">
        <w:t>ocess. Specifically, the motivating research question is,</w:t>
      </w:r>
      <w:r w:rsidR="00173A91">
        <w:t xml:space="preserve"> </w:t>
      </w:r>
      <w:r w:rsidR="00173A91" w:rsidRPr="00BE25B0">
        <w:t>under what local conditions did the Tea Party impact the 2010 Midterm elections</w:t>
      </w:r>
      <w:r w:rsidR="00173A91">
        <w:t>? Furthermore, the project examines (1) the tactics that explain their impact</w:t>
      </w:r>
      <w:r w:rsidR="001F754E">
        <w:t xml:space="preserve"> on voter turnout and how that influenced congressional representation</w:t>
      </w:r>
      <w:r w:rsidR="00173A91">
        <w:t>, and (2) how movement tactics differ by local context.</w:t>
      </w:r>
    </w:p>
    <w:p w14:paraId="7776798F" w14:textId="17224901" w:rsidR="00BC3B97" w:rsidRPr="00FB7338" w:rsidRDefault="00FB7338" w:rsidP="0047749A">
      <w:pPr>
        <w:spacing w:line="480" w:lineRule="auto"/>
        <w:rPr>
          <w:b/>
        </w:rPr>
      </w:pPr>
      <w:r>
        <w:rPr>
          <w:b/>
        </w:rPr>
        <w:t>BACKGROUND</w:t>
      </w:r>
    </w:p>
    <w:p w14:paraId="333BC696" w14:textId="4E5D045E" w:rsidR="00284793" w:rsidRPr="000A141F" w:rsidRDefault="003E7920" w:rsidP="00284793">
      <w:pPr>
        <w:spacing w:line="480" w:lineRule="auto"/>
        <w:rPr>
          <w:b/>
          <w:i/>
        </w:rPr>
      </w:pPr>
      <w:r>
        <w:rPr>
          <w:b/>
          <w:i/>
        </w:rPr>
        <w:lastRenderedPageBreak/>
        <w:t>Theoretical Framework</w:t>
      </w:r>
    </w:p>
    <w:p w14:paraId="230D7A7F" w14:textId="5B2A9ECE" w:rsidR="00C67566" w:rsidRDefault="00284793" w:rsidP="00C67566">
      <w:pPr>
        <w:spacing w:line="480" w:lineRule="auto"/>
        <w:ind w:firstLine="720"/>
      </w:pPr>
      <w:r>
        <w:t>Movement scholars have debated how and when movements have political impacts</w:t>
      </w:r>
      <w:r w:rsidR="001E73BD">
        <w:t xml:space="preserve"> on the state</w:t>
      </w:r>
      <w:r w:rsidR="005D5803">
        <w:t xml:space="preserve"> or political</w:t>
      </w:r>
      <w:r w:rsidR="001E73BD">
        <w:t xml:space="preserve"> environment</w:t>
      </w:r>
      <w:r w:rsidR="005D5803">
        <w:t>.</w:t>
      </w:r>
      <w:r w:rsidR="00F51F22">
        <w:t xml:space="preserve"> Much of the work</w:t>
      </w:r>
      <w:r w:rsidR="00E24021">
        <w:t xml:space="preserve"> on the </w:t>
      </w:r>
      <w:r w:rsidR="005D5803">
        <w:t>state-related c</w:t>
      </w:r>
      <w:r w:rsidR="007C1365">
        <w:t xml:space="preserve">onsequences of social movements </w:t>
      </w:r>
      <w:r w:rsidR="005D5803">
        <w:t>focused o</w:t>
      </w:r>
      <w:r w:rsidR="00457930">
        <w:t>n success of a movement in</w:t>
      </w:r>
      <w:r w:rsidR="005D5803">
        <w:t xml:space="preserve"> having their stated goals acted upon by the state (</w:t>
      </w:r>
      <w:proofErr w:type="spellStart"/>
      <w:r w:rsidR="005D5803">
        <w:t>Gamson</w:t>
      </w:r>
      <w:proofErr w:type="spellEnd"/>
      <w:r w:rsidR="005D5803">
        <w:t xml:space="preserve"> 1990, </w:t>
      </w:r>
      <w:proofErr w:type="spellStart"/>
      <w:r w:rsidR="005D5803">
        <w:t>Piven</w:t>
      </w:r>
      <w:proofErr w:type="spellEnd"/>
      <w:r w:rsidR="005D5803">
        <w:t xml:space="preserve"> and </w:t>
      </w:r>
      <w:proofErr w:type="spellStart"/>
      <w:r w:rsidR="005D5803">
        <w:t>Cloward</w:t>
      </w:r>
      <w:proofErr w:type="spellEnd"/>
      <w:r w:rsidR="005D5803">
        <w:t xml:space="preserve"> 1977)</w:t>
      </w:r>
      <w:r w:rsidR="00462188">
        <w:t>. However, the explici</w:t>
      </w:r>
      <w:r w:rsidR="0007776C">
        <w:t>t focus on whether a challenger’s</w:t>
      </w:r>
      <w:r w:rsidR="00462188">
        <w:t xml:space="preserve"> goals are met </w:t>
      </w:r>
      <w:r w:rsidR="0007776C">
        <w:t>would qualify most movements as failures. For example, the women’s movement worked to enact the Equal Rights Amendment</w:t>
      </w:r>
      <w:r w:rsidR="00E10AFF">
        <w:t xml:space="preserve"> (ERA)</w:t>
      </w:r>
      <w:r w:rsidR="00FA4AE8">
        <w:t>,</w:t>
      </w:r>
      <w:r w:rsidR="0007776C">
        <w:t xml:space="preserve"> </w:t>
      </w:r>
      <w:r w:rsidR="00FA4AE8">
        <w:t>but nearly a half-century later</w:t>
      </w:r>
      <w:r w:rsidR="0007776C">
        <w:t xml:space="preserve"> the ERA has not been </w:t>
      </w:r>
      <w:r w:rsidR="00E10AFF">
        <w:t>implemented</w:t>
      </w:r>
      <w:r w:rsidR="0007776C">
        <w:t xml:space="preserve">. </w:t>
      </w:r>
      <w:r w:rsidR="00E10AFF">
        <w:t>By focusing explicitly on goals</w:t>
      </w:r>
      <w:r w:rsidR="0007776C">
        <w:t xml:space="preserve">, </w:t>
      </w:r>
      <w:r w:rsidR="002C2CF3">
        <w:t xml:space="preserve">researchers fail to see what the movement </w:t>
      </w:r>
      <w:r w:rsidR="002C2CF3">
        <w:rPr>
          <w:i/>
        </w:rPr>
        <w:t>did</w:t>
      </w:r>
      <w:r w:rsidR="002C2CF3">
        <w:t xml:space="preserve"> do. </w:t>
      </w:r>
      <w:r w:rsidR="00304991">
        <w:t xml:space="preserve">In addition, movements can do worse than failure, such as experiencing repression or restrictions (McCarthy and </w:t>
      </w:r>
      <w:proofErr w:type="spellStart"/>
      <w:r w:rsidR="00304991">
        <w:t>McPhail</w:t>
      </w:r>
      <w:proofErr w:type="spellEnd"/>
      <w:r w:rsidR="00304991">
        <w:t xml:space="preserve"> 1998). </w:t>
      </w:r>
      <w:r w:rsidR="002C2CF3">
        <w:t>Given the difficulty in understanding the effects of movements in the political realm, researchers (</w:t>
      </w:r>
      <w:proofErr w:type="spellStart"/>
      <w:r w:rsidR="002C2CF3">
        <w:t>Amenta</w:t>
      </w:r>
      <w:proofErr w:type="spellEnd"/>
      <w:r w:rsidR="002C2CF3">
        <w:t xml:space="preserve"> </w:t>
      </w:r>
      <w:r w:rsidR="00F0739B">
        <w:t>et al. 2010</w:t>
      </w:r>
      <w:r w:rsidR="002C2CF3">
        <w:t>)</w:t>
      </w:r>
      <w:r w:rsidR="00FA4AE8">
        <w:t xml:space="preserve"> suggest focusing </w:t>
      </w:r>
      <w:r w:rsidR="002C2CF3">
        <w:t xml:space="preserve">on movement impacts, consequences or outcomes </w:t>
      </w:r>
      <w:r w:rsidR="00C67566">
        <w:t>rather than success or failure.</w:t>
      </w:r>
    </w:p>
    <w:p w14:paraId="235A64E0" w14:textId="35480FA7" w:rsidR="00E24021" w:rsidRDefault="00E10AFF" w:rsidP="00C67566">
      <w:pPr>
        <w:spacing w:line="480" w:lineRule="auto"/>
        <w:ind w:firstLine="720"/>
      </w:pPr>
      <w:r>
        <w:t>One important factor that sh</w:t>
      </w:r>
      <w:r w:rsidR="001E73BD">
        <w:t xml:space="preserve">apes movement outcomes is resources. </w:t>
      </w:r>
      <w:r w:rsidR="00457930">
        <w:t>Resour</w:t>
      </w:r>
      <w:r w:rsidR="00232CB3">
        <w:t>ce mobilization</w:t>
      </w:r>
      <w:r w:rsidR="00FA4AE8">
        <w:t xml:space="preserve"> theory</w:t>
      </w:r>
      <w:r w:rsidR="001E73BD">
        <w:t xml:space="preserve"> (McCarthy and </w:t>
      </w:r>
      <w:proofErr w:type="spellStart"/>
      <w:r w:rsidR="001E73BD">
        <w:t>Zald</w:t>
      </w:r>
      <w:proofErr w:type="spellEnd"/>
      <w:r w:rsidR="001E73BD">
        <w:t xml:space="preserve"> 1977, 2002)</w:t>
      </w:r>
      <w:r w:rsidR="00232CB3">
        <w:t xml:space="preserve"> argues that</w:t>
      </w:r>
      <w:r w:rsidR="001E73BD">
        <w:t xml:space="preserve"> movements </w:t>
      </w:r>
      <w:r w:rsidR="00232CB3">
        <w:t xml:space="preserve">with more resources such as </w:t>
      </w:r>
      <w:r w:rsidR="001E73BD">
        <w:t xml:space="preserve">organizations, </w:t>
      </w:r>
      <w:r w:rsidR="00232CB3">
        <w:t>volunteers, money</w:t>
      </w:r>
      <w:r w:rsidR="001E73BD">
        <w:t>,</w:t>
      </w:r>
      <w:r w:rsidR="00232CB3">
        <w:t xml:space="preserve"> and time commitments will be able to achieve their goals. </w:t>
      </w:r>
      <w:r w:rsidR="001E73BD">
        <w:t>Accordingly</w:t>
      </w:r>
      <w:r w:rsidR="00FA4AE8">
        <w:t>,</w:t>
      </w:r>
      <w:r w:rsidR="00232CB3">
        <w:t xml:space="preserve"> </w:t>
      </w:r>
      <w:r w:rsidR="001E73BD">
        <w:t xml:space="preserve">being mobilized </w:t>
      </w:r>
      <w:r w:rsidR="00232CB3">
        <w:t xml:space="preserve">would lead </w:t>
      </w:r>
      <w:r w:rsidR="001E73BD">
        <w:t>movement impact.</w:t>
      </w:r>
      <w:r w:rsidR="00F51F22">
        <w:t xml:space="preserve"> The resource mobilization approach spurred researchers </w:t>
      </w:r>
      <w:r w:rsidR="00232CB3">
        <w:t>to examine movement-related characteristic</w:t>
      </w:r>
      <w:r w:rsidR="001E73BD">
        <w:t>s as determinants of influence o</w:t>
      </w:r>
      <w:r w:rsidR="00232CB3">
        <w:t xml:space="preserve">n </w:t>
      </w:r>
      <w:r w:rsidR="001E73BD">
        <w:t xml:space="preserve">policy, including the presence and number of organizations </w:t>
      </w:r>
      <w:r w:rsidR="00457930">
        <w:t>(Baumgartner and Mahoney 2005</w:t>
      </w:r>
      <w:r w:rsidR="00F51F22">
        <w:t xml:space="preserve">, </w:t>
      </w:r>
      <w:proofErr w:type="spellStart"/>
      <w:r w:rsidR="00F51F22">
        <w:t>Gamson</w:t>
      </w:r>
      <w:proofErr w:type="spellEnd"/>
      <w:r w:rsidR="00F51F22">
        <w:t xml:space="preserve"> 1990</w:t>
      </w:r>
      <w:r w:rsidR="00232CB3">
        <w:t>)</w:t>
      </w:r>
      <w:r w:rsidR="00992443">
        <w:t>,</w:t>
      </w:r>
      <w:r w:rsidR="00232CB3">
        <w:t xml:space="preserve"> tactical choices and framing (McVeigh, Myers, and </w:t>
      </w:r>
      <w:proofErr w:type="spellStart"/>
      <w:r w:rsidR="00232CB3">
        <w:t>Sikkink</w:t>
      </w:r>
      <w:proofErr w:type="spellEnd"/>
      <w:r w:rsidR="00232CB3">
        <w:t xml:space="preserve"> 2004; </w:t>
      </w:r>
      <w:proofErr w:type="spellStart"/>
      <w:r w:rsidR="00457930">
        <w:t>McCammon</w:t>
      </w:r>
      <w:proofErr w:type="spellEnd"/>
      <w:r w:rsidR="00457930">
        <w:t xml:space="preserve"> et al. 2008</w:t>
      </w:r>
      <w:r w:rsidR="00992443">
        <w:t>), and organizational infrastructure (</w:t>
      </w:r>
      <w:r w:rsidR="00232CB3">
        <w:t>Andrews 2004)</w:t>
      </w:r>
      <w:r w:rsidR="00457930">
        <w:t xml:space="preserve">. </w:t>
      </w:r>
      <w:r w:rsidR="001D27D9">
        <w:t xml:space="preserve">While mobilization, organizational presence and capacities are important for influence, movement-related characteristics are only part of the story. </w:t>
      </w:r>
    </w:p>
    <w:p w14:paraId="461FC335" w14:textId="23AD65AF" w:rsidR="00F06188" w:rsidRDefault="001D27D9" w:rsidP="00F06188">
      <w:pPr>
        <w:spacing w:line="480" w:lineRule="auto"/>
        <w:ind w:firstLine="720"/>
      </w:pPr>
      <w:r>
        <w:lastRenderedPageBreak/>
        <w:t xml:space="preserve">Since movements interested in political outcomes necessarily target the state </w:t>
      </w:r>
      <w:r w:rsidR="001E73BD">
        <w:t>and</w:t>
      </w:r>
      <w:r w:rsidR="00BF1078">
        <w:t xml:space="preserve"> political actors, </w:t>
      </w:r>
      <w:r>
        <w:t>researchers criticize resou</w:t>
      </w:r>
      <w:r w:rsidR="001E73BD">
        <w:t>rce mobilization scholars</w:t>
      </w:r>
      <w:r>
        <w:t xml:space="preserve"> for ignoring </w:t>
      </w:r>
      <w:r w:rsidR="001E73BD">
        <w:t>the role of political context</w:t>
      </w:r>
      <w:r w:rsidR="00115DA3">
        <w:t xml:space="preserve"> in shaping</w:t>
      </w:r>
      <w:r>
        <w:t xml:space="preserve"> movement </w:t>
      </w:r>
      <w:r w:rsidRPr="00037D3A">
        <w:t xml:space="preserve">outcomes. </w:t>
      </w:r>
      <w:r w:rsidR="00BF1078">
        <w:t>Political o</w:t>
      </w:r>
      <w:r w:rsidR="00115DA3" w:rsidRPr="00037D3A">
        <w:t>pportunity</w:t>
      </w:r>
      <w:r w:rsidR="002C6C3A" w:rsidRPr="00037D3A">
        <w:t xml:space="preserve"> </w:t>
      </w:r>
      <w:r w:rsidRPr="00037D3A">
        <w:t xml:space="preserve">structures are important for understanding </w:t>
      </w:r>
      <w:r w:rsidR="00BF1078">
        <w:t xml:space="preserve">the </w:t>
      </w:r>
      <w:r w:rsidR="002C6C3A" w:rsidRPr="00037D3A">
        <w:t>op</w:t>
      </w:r>
      <w:r w:rsidR="00115DA3" w:rsidRPr="00037D3A">
        <w:t>enings</w:t>
      </w:r>
      <w:r w:rsidR="002C6C3A" w:rsidRPr="00037D3A">
        <w:t xml:space="preserve"> for action </w:t>
      </w:r>
      <w:r w:rsidRPr="00037D3A">
        <w:t>be</w:t>
      </w:r>
      <w:r w:rsidR="00BF1078">
        <w:t xml:space="preserve">cause certain contexts are </w:t>
      </w:r>
      <w:r w:rsidRPr="00037D3A">
        <w:t xml:space="preserve">more amenable </w:t>
      </w:r>
      <w:r w:rsidR="002C6C3A" w:rsidRPr="00037D3A">
        <w:t>to movement demands than others</w:t>
      </w:r>
      <w:proofErr w:type="gramStart"/>
      <w:r w:rsidR="002C6C3A" w:rsidRPr="00037D3A">
        <w:t>;</w:t>
      </w:r>
      <w:proofErr w:type="gramEnd"/>
      <w:r w:rsidR="00BF1078">
        <w:t xml:space="preserve"> as with </w:t>
      </w:r>
      <w:r w:rsidRPr="00037D3A">
        <w:t xml:space="preserve">the presence of “elite allies” in government (Meyer and </w:t>
      </w:r>
      <w:proofErr w:type="spellStart"/>
      <w:r w:rsidRPr="00037D3A">
        <w:t>Minkoff</w:t>
      </w:r>
      <w:proofErr w:type="spellEnd"/>
      <w:r w:rsidRPr="00037D3A">
        <w:t xml:space="preserve"> 2004)</w:t>
      </w:r>
      <w:r w:rsidR="002C6C3A" w:rsidRPr="00037D3A">
        <w:t xml:space="preserve">. </w:t>
      </w:r>
      <w:r w:rsidR="00115DA3" w:rsidRPr="00037D3A">
        <w:t>Along these lines, political mediation theories</w:t>
      </w:r>
      <w:r w:rsidR="006D1411" w:rsidRPr="00037D3A">
        <w:t xml:space="preserve"> (</w:t>
      </w:r>
      <w:proofErr w:type="spellStart"/>
      <w:r w:rsidR="006D1411" w:rsidRPr="00037D3A">
        <w:t>Amenta</w:t>
      </w:r>
      <w:proofErr w:type="spellEnd"/>
      <w:r w:rsidR="006D1411" w:rsidRPr="00037D3A">
        <w:t xml:space="preserve"> et al.</w:t>
      </w:r>
      <w:r w:rsidR="00655A06">
        <w:t xml:space="preserve"> 1994; </w:t>
      </w:r>
      <w:proofErr w:type="spellStart"/>
      <w:r w:rsidR="00824850" w:rsidRPr="00037D3A">
        <w:t>Amenta</w:t>
      </w:r>
      <w:proofErr w:type="spellEnd"/>
      <w:r w:rsidR="00824850" w:rsidRPr="00037D3A">
        <w:t xml:space="preserve"> 2006</w:t>
      </w:r>
      <w:r w:rsidR="00115DA3" w:rsidRPr="00037D3A">
        <w:t>) assert</w:t>
      </w:r>
      <w:r w:rsidR="00115DA3">
        <w:t xml:space="preserve"> </w:t>
      </w:r>
      <w:r w:rsidR="000A364B">
        <w:t xml:space="preserve">that </w:t>
      </w:r>
      <w:r w:rsidR="00824850">
        <w:t>the ou</w:t>
      </w:r>
      <w:r w:rsidR="000A364B">
        <w:t>tcomes movements achieve are the product of an interactive process between movement and political actors (</w:t>
      </w:r>
      <w:proofErr w:type="spellStart"/>
      <w:r w:rsidR="000A364B">
        <w:t>Amenta</w:t>
      </w:r>
      <w:proofErr w:type="spellEnd"/>
      <w:r w:rsidR="000A364B">
        <w:t xml:space="preserve"> 2006; </w:t>
      </w:r>
      <w:proofErr w:type="spellStart"/>
      <w:r w:rsidR="000A364B">
        <w:t>Amenta</w:t>
      </w:r>
      <w:proofErr w:type="spellEnd"/>
      <w:r w:rsidR="000A364B">
        <w:t xml:space="preserve">, </w:t>
      </w:r>
      <w:proofErr w:type="spellStart"/>
      <w:r w:rsidR="000A364B">
        <w:t>Caren</w:t>
      </w:r>
      <w:proofErr w:type="spellEnd"/>
      <w:r w:rsidR="000A364B">
        <w:t xml:space="preserve">, and </w:t>
      </w:r>
      <w:proofErr w:type="spellStart"/>
      <w:r w:rsidR="000A364B">
        <w:t>Olasky</w:t>
      </w:r>
      <w:proofErr w:type="spellEnd"/>
      <w:r w:rsidR="000A364B">
        <w:t xml:space="preserve"> 2005). </w:t>
      </w:r>
      <w:r w:rsidR="008A51B9">
        <w:t xml:space="preserve">Movements must adopt tactics that fit their political context, since specific movement tactics will not work for all environments. </w:t>
      </w:r>
      <w:r w:rsidR="000A364B" w:rsidRPr="008A51B9">
        <w:t>Thus, outcomes are mediate</w:t>
      </w:r>
      <w:r w:rsidR="00001012" w:rsidRPr="008A51B9">
        <w:t>d through the political context.</w:t>
      </w:r>
      <w:r w:rsidR="008A51B9">
        <w:t xml:space="preserve"> In</w:t>
      </w:r>
      <w:r w:rsidR="00001012">
        <w:t xml:space="preserve"> favorable contexts, simple mobilization (organizational presence) might be enough for a movement’s goals to be met. However, in unfavorable contexts, movements will need to employ more assertive strategies to achieve their goals or have an impact (</w:t>
      </w:r>
      <w:proofErr w:type="spellStart"/>
      <w:r w:rsidR="00001012">
        <w:t>Amenta</w:t>
      </w:r>
      <w:proofErr w:type="spellEnd"/>
      <w:r w:rsidR="00001012">
        <w:t xml:space="preserve"> </w:t>
      </w:r>
      <w:r w:rsidR="009D5E0B">
        <w:t xml:space="preserve">et al. 1994, </w:t>
      </w:r>
      <w:proofErr w:type="spellStart"/>
      <w:r w:rsidR="009D5E0B">
        <w:t>Amenta</w:t>
      </w:r>
      <w:proofErr w:type="spellEnd"/>
      <w:r w:rsidR="009D5E0B">
        <w:t xml:space="preserve"> 2006). For example, the women’s movement can be understood as a left-leaning movement. Here, a favorable local context would be a heavily democratic district or county. The political mediation model would posit that in this context, the women’s movement would not have to employ assertive strategies such as protest or lobbying in order to have political impacts. However, in unfavorable contexts such as heavily Republican counties, the movement would have to be more assertive in their strategies to affect policy change. </w:t>
      </w:r>
    </w:p>
    <w:p w14:paraId="244240E1" w14:textId="42BF9315" w:rsidR="00BB0B44" w:rsidRDefault="009D5E0B" w:rsidP="003B068A">
      <w:pPr>
        <w:spacing w:line="480" w:lineRule="auto"/>
        <w:ind w:firstLine="720"/>
      </w:pPr>
      <w:r>
        <w:t>Taken together, in favorable partisan contexts, the resource mobilization approach works. That is, those movements with more organizational presence, more monetary resources and more volunteers will be more likely to have political impacts.</w:t>
      </w:r>
      <w:r w:rsidR="004206E2">
        <w:t xml:space="preserve"> </w:t>
      </w:r>
      <w:r w:rsidR="00BB0B44">
        <w:t xml:space="preserve">Research also </w:t>
      </w:r>
      <w:r w:rsidR="00115DA3">
        <w:t>suggests</w:t>
      </w:r>
      <w:r w:rsidR="00BB0B44">
        <w:t xml:space="preserve"> that conservative movements </w:t>
      </w:r>
      <w:r w:rsidR="00115DA3">
        <w:t xml:space="preserve">likely </w:t>
      </w:r>
      <w:r w:rsidR="00BB0B44">
        <w:t xml:space="preserve">have routine access to resources, given that they act on behalf of relatively </w:t>
      </w:r>
      <w:r w:rsidR="00BB0B44">
        <w:lastRenderedPageBreak/>
        <w:t xml:space="preserve">advantaged constituencies (McVeigh 2009). </w:t>
      </w:r>
      <w:r w:rsidR="004206E2">
        <w:t>As such, i</w:t>
      </w:r>
      <w:r>
        <w:t>n Republican partisan local contexts, the Tea Party will have to do little by way of protest and rallies</w:t>
      </w:r>
      <w:r w:rsidR="00F06188">
        <w:t>. Simply by having increased organizational presence, the Tea Party will be abl</w:t>
      </w:r>
      <w:r w:rsidR="008A51B9">
        <w:t xml:space="preserve">e influence </w:t>
      </w:r>
      <w:r w:rsidR="00BE25B0">
        <w:t>the Midterm election</w:t>
      </w:r>
      <w:r w:rsidR="008A51B9">
        <w:t xml:space="preserve">. </w:t>
      </w:r>
      <w:r w:rsidR="00F06188">
        <w:t>In unfavorable Democratic contexts, however, the movement will nee</w:t>
      </w:r>
      <w:r w:rsidR="00BE25B0">
        <w:t>d to engage in the assertive action of voter suppression to ensure their candidates get increased percentages of votes</w:t>
      </w:r>
      <w:r w:rsidR="00F06188">
        <w:t xml:space="preserve">. </w:t>
      </w:r>
    </w:p>
    <w:p w14:paraId="173E3A77" w14:textId="0929265F" w:rsidR="00284793" w:rsidRDefault="00284793" w:rsidP="00F53FA4">
      <w:pPr>
        <w:spacing w:line="480" w:lineRule="auto"/>
        <w:ind w:firstLine="720"/>
      </w:pPr>
      <w:r>
        <w:t xml:space="preserve">Although research focuses </w:t>
      </w:r>
      <w:r w:rsidR="003B068A">
        <w:t xml:space="preserve">on </w:t>
      </w:r>
      <w:r>
        <w:t xml:space="preserve">policy impacts of movements, the current project </w:t>
      </w:r>
      <w:r w:rsidR="003B068A">
        <w:t xml:space="preserve">examines </w:t>
      </w:r>
      <w:r w:rsidR="00F06188">
        <w:t xml:space="preserve">voter turnout </w:t>
      </w:r>
      <w:r>
        <w:t>and voting behavior as two interrelated political outcomes. Following Amenta (2006), I argue that movements adapt their strategies t</w:t>
      </w:r>
      <w:r w:rsidR="003B068A">
        <w:t>o their context</w:t>
      </w:r>
      <w:r w:rsidR="008837DD">
        <w:t xml:space="preserve"> and in</w:t>
      </w:r>
      <w:r>
        <w:t xml:space="preserve"> an effort to create their own opportunity for success (Cornwa</w:t>
      </w:r>
      <w:r w:rsidR="003B068A">
        <w:t>ll et al. 2007)</w:t>
      </w:r>
      <w:proofErr w:type="gramStart"/>
      <w:r w:rsidR="003B068A">
        <w:t>,</w:t>
      </w:r>
      <w:proofErr w:type="gramEnd"/>
      <w:r w:rsidR="00F53FA4">
        <w:t xml:space="preserve"> movements </w:t>
      </w:r>
      <w:r w:rsidR="003B068A">
        <w:t>in</w:t>
      </w:r>
      <w:r w:rsidR="00F53FA4">
        <w:t xml:space="preserve"> unfavorable contexts </w:t>
      </w:r>
      <w:r>
        <w:t>try to alter the</w:t>
      </w:r>
      <w:r w:rsidR="00F53FA4">
        <w:t xml:space="preserve"> political structure of that context</w:t>
      </w:r>
      <w:r w:rsidR="00F06188">
        <w:t>. The Tea Party altered local</w:t>
      </w:r>
      <w:r>
        <w:t xml:space="preserve"> </w:t>
      </w:r>
      <w:r w:rsidR="00F53FA4">
        <w:t xml:space="preserve">Democratic </w:t>
      </w:r>
      <w:r>
        <w:t>political structure by first en</w:t>
      </w:r>
      <w:r w:rsidR="00F06188">
        <w:t>gaging in tactics to 1) decrease voter turnout from the previous election, i</w:t>
      </w:r>
      <w:r>
        <w:t xml:space="preserve">n order to 2) increase the likelihood of Tea Party candidate victories. </w:t>
      </w:r>
      <w:r w:rsidR="00257E0B">
        <w:t>Since little research has examined the Tea Party (</w:t>
      </w:r>
      <w:proofErr w:type="spellStart"/>
      <w:r w:rsidR="00257E0B">
        <w:t>Skocpol</w:t>
      </w:r>
      <w:proofErr w:type="spellEnd"/>
      <w:r w:rsidR="00257E0B">
        <w:t xml:space="preserve"> and Williamson</w:t>
      </w:r>
      <w:r w:rsidR="003B068A">
        <w:t xml:space="preserve"> 2012; Williamson, </w:t>
      </w:r>
      <w:proofErr w:type="spellStart"/>
      <w:r w:rsidR="003B068A">
        <w:t>Skocpol</w:t>
      </w:r>
      <w:proofErr w:type="spellEnd"/>
      <w:r w:rsidR="003B068A">
        <w:t xml:space="preserve">, and </w:t>
      </w:r>
      <w:proofErr w:type="spellStart"/>
      <w:r w:rsidR="003B068A">
        <w:t>Coggin</w:t>
      </w:r>
      <w:proofErr w:type="spellEnd"/>
      <w:r w:rsidR="003B068A">
        <w:t xml:space="preserve"> 2011</w:t>
      </w:r>
      <w:r w:rsidR="00F62F95">
        <w:t>; Zernike 2010</w:t>
      </w:r>
      <w:r w:rsidR="003B068A">
        <w:t>), and none have examined the influence of movements on immediate electoral outcomes that shape later outcomes, I explore how the movement suppressed voter turnout in local Democratic partisan contexts and how suppression ultimately led to the successes of Tea Party candidates in the 2010 midterm elections (see McDonald 2011).</w:t>
      </w:r>
    </w:p>
    <w:p w14:paraId="6DF37E29" w14:textId="77777777" w:rsidR="00D95BFE" w:rsidRPr="00273FD7" w:rsidRDefault="00D95BFE" w:rsidP="00D95BFE">
      <w:pPr>
        <w:spacing w:line="480" w:lineRule="auto"/>
        <w:rPr>
          <w:b/>
          <w:i/>
        </w:rPr>
      </w:pPr>
      <w:r w:rsidRPr="00273FD7">
        <w:rPr>
          <w:b/>
          <w:i/>
        </w:rPr>
        <w:t>The Tea Party Movement</w:t>
      </w:r>
    </w:p>
    <w:p w14:paraId="0E7A613E" w14:textId="6E0A0DC1" w:rsidR="003E7920" w:rsidRPr="003E7920" w:rsidRDefault="00D95BFE" w:rsidP="00D95BFE">
      <w:pPr>
        <w:spacing w:line="480" w:lineRule="auto"/>
        <w:ind w:firstLine="720"/>
      </w:pPr>
      <w:r>
        <w:t xml:space="preserve">The </w:t>
      </w:r>
      <w:r w:rsidR="003B068A">
        <w:t xml:space="preserve">national </w:t>
      </w:r>
      <w:r>
        <w:t>Tea Party Movement emerged in January of 2009 as a reactionary movement, in response to t</w:t>
      </w:r>
      <w:r w:rsidR="00BF1078">
        <w:t>he election Barack Obama. Obama’s plans for</w:t>
      </w:r>
      <w:r>
        <w:t xml:space="preserve"> remedying the economic woes of the </w:t>
      </w:r>
      <w:r w:rsidR="00115DA3">
        <w:t>R</w:t>
      </w:r>
      <w:r>
        <w:t>ecession included expansion of government programs (</w:t>
      </w:r>
      <w:proofErr w:type="spellStart"/>
      <w:r>
        <w:t>e.g</w:t>
      </w:r>
      <w:proofErr w:type="spellEnd"/>
      <w:r>
        <w:t xml:space="preserve"> healt</w:t>
      </w:r>
      <w:r w:rsidR="00BF1078">
        <w:t xml:space="preserve">h care coverage), signaling the </w:t>
      </w:r>
      <w:r>
        <w:t>expansion of government, increased spending and taxes</w:t>
      </w:r>
      <w:r w:rsidR="00BF1078">
        <w:t>,</w:t>
      </w:r>
      <w:r>
        <w:t xml:space="preserve"> and increased regulations on the market economy</w:t>
      </w:r>
      <w:r w:rsidR="00BF1078">
        <w:t xml:space="preserve">; all of which are at odds with what traditional </w:t>
      </w:r>
      <w:r>
        <w:t xml:space="preserve">Republicans </w:t>
      </w:r>
      <w:r>
        <w:lastRenderedPageBreak/>
        <w:t xml:space="preserve">believed was the appropriate role of government. </w:t>
      </w:r>
      <w:r w:rsidR="00BF1078">
        <w:t>In</w:t>
      </w:r>
      <w:r>
        <w:t xml:space="preserve"> response, the Tea Party staged heavily attended rallies and protests, and garnered media attention (Williamson, </w:t>
      </w:r>
      <w:proofErr w:type="spellStart"/>
      <w:r>
        <w:t>Skocpol</w:t>
      </w:r>
      <w:proofErr w:type="spellEnd"/>
      <w:r>
        <w:t xml:space="preserve">, and </w:t>
      </w:r>
      <w:proofErr w:type="spellStart"/>
      <w:r>
        <w:t>Coggin</w:t>
      </w:r>
      <w:proofErr w:type="spellEnd"/>
      <w:r>
        <w:t xml:space="preserve"> 2011). Composed of people associated with the Religious Right, the Tea Party began grassroots movement with a mission of constitutionally limited government, fiscal responsibility, and free markets (</w:t>
      </w:r>
      <w:proofErr w:type="spellStart"/>
      <w:r>
        <w:t>Skocpol</w:t>
      </w:r>
      <w:proofErr w:type="spellEnd"/>
      <w:r>
        <w:t xml:space="preserve"> and Williamson 2012). Despite a</w:t>
      </w:r>
      <w:r w:rsidR="00BF1078">
        <w:t xml:space="preserve"> national focus, </w:t>
      </w:r>
      <w:r>
        <w:t>the Tea Party movement was comprised mainl</w:t>
      </w:r>
      <w:r w:rsidR="003E100F">
        <w:t xml:space="preserve">y of local, civic </w:t>
      </w:r>
      <w:r>
        <w:t>organizations that were loosely tied to one another</w:t>
      </w:r>
      <w:r w:rsidR="003E100F">
        <w:t xml:space="preserve"> (</w:t>
      </w:r>
      <w:proofErr w:type="spellStart"/>
      <w:r w:rsidR="003E100F">
        <w:t>Skocpol</w:t>
      </w:r>
      <w:proofErr w:type="spellEnd"/>
      <w:r w:rsidR="003E100F">
        <w:t xml:space="preserve"> and Williamson 2012)</w:t>
      </w:r>
      <w:r>
        <w:t xml:space="preserve">. </w:t>
      </w:r>
      <w:r w:rsidR="00BF1078">
        <w:t xml:space="preserve">Importantly, </w:t>
      </w:r>
      <w:r>
        <w:t>the Tea Party flexed its</w:t>
      </w:r>
      <w:r w:rsidR="00BF1078">
        <w:t xml:space="preserve"> muscle through their </w:t>
      </w:r>
      <w:r>
        <w:t>endorsement of congressional candidates during the 2010 Midterm elections (Mille</w:t>
      </w:r>
      <w:r w:rsidR="00EE4A3E">
        <w:t>r and Walling 2012). To be sure, t</w:t>
      </w:r>
      <w:r>
        <w:t>he T</w:t>
      </w:r>
      <w:r w:rsidR="004206E2">
        <w:t>ea Party ha</w:t>
      </w:r>
      <w:r w:rsidR="00EE4A3E">
        <w:t xml:space="preserve">d an impact in the Midterms, but </w:t>
      </w:r>
      <w:r w:rsidR="004206E2">
        <w:t>because no work has explicitly elaborate</w:t>
      </w:r>
      <w:r w:rsidR="00EE4A3E">
        <w:t xml:space="preserve">d on their effects, this project will unpack the Tea Party’s </w:t>
      </w:r>
      <w:r w:rsidR="004206E2">
        <w:t xml:space="preserve">proximal political </w:t>
      </w:r>
      <w:r>
        <w:t xml:space="preserve">impact. </w:t>
      </w:r>
    </w:p>
    <w:p w14:paraId="10245908" w14:textId="4FBD975A" w:rsidR="008C6AC3" w:rsidRDefault="00A8588E" w:rsidP="008C6AC3">
      <w:pPr>
        <w:spacing w:line="480" w:lineRule="auto"/>
        <w:rPr>
          <w:b/>
          <w:i/>
        </w:rPr>
      </w:pPr>
      <w:r>
        <w:rPr>
          <w:b/>
          <w:i/>
        </w:rPr>
        <w:t xml:space="preserve">Broader </w:t>
      </w:r>
      <w:r w:rsidR="000E39F6">
        <w:rPr>
          <w:b/>
          <w:i/>
        </w:rPr>
        <w:t>Contribution</w:t>
      </w:r>
      <w:r>
        <w:rPr>
          <w:b/>
          <w:i/>
        </w:rPr>
        <w:t>s</w:t>
      </w:r>
    </w:p>
    <w:p w14:paraId="370404C7" w14:textId="02CF24A5" w:rsidR="00B5630C" w:rsidRPr="00037D3A" w:rsidRDefault="008C6AC3" w:rsidP="00037D3A">
      <w:pPr>
        <w:spacing w:line="480" w:lineRule="auto"/>
        <w:ind w:firstLine="720"/>
      </w:pPr>
      <w:r>
        <w:t>This</w:t>
      </w:r>
      <w:r w:rsidR="00F776FE">
        <w:t xml:space="preserve"> project</w:t>
      </w:r>
      <w:r>
        <w:t xml:space="preserve"> </w:t>
      </w:r>
      <w:r w:rsidR="00C67566">
        <w:t>explores the broader gaps in social movement theory on political outcomes</w:t>
      </w:r>
      <w:r w:rsidR="00D95BFE">
        <w:t>, with particular insight into conservative movements</w:t>
      </w:r>
      <w:r w:rsidR="00C67566">
        <w:t xml:space="preserve">. </w:t>
      </w:r>
      <w:r w:rsidR="00F776FE">
        <w:t>While</w:t>
      </w:r>
      <w:r>
        <w:t xml:space="preserve"> literature suggests that movements have influence on the electoral process</w:t>
      </w:r>
      <w:r w:rsidR="00C67566">
        <w:t>, and much has work has been done to show the impacts of movements on social policy</w:t>
      </w:r>
      <w:r>
        <w:t>, little systematic research has addressed the relati</w:t>
      </w:r>
      <w:r w:rsidR="00CC59CC">
        <w:t xml:space="preserve">onship between movement tactics and </w:t>
      </w:r>
      <w:r>
        <w:t>electoral changes (</w:t>
      </w:r>
      <w:proofErr w:type="spellStart"/>
      <w:r>
        <w:t>M</w:t>
      </w:r>
      <w:r w:rsidR="00CC59CC">
        <w:t>cAdam</w:t>
      </w:r>
      <w:proofErr w:type="spellEnd"/>
      <w:r w:rsidR="00CC59CC">
        <w:t xml:space="preserve"> and </w:t>
      </w:r>
      <w:proofErr w:type="spellStart"/>
      <w:r w:rsidR="00CC59CC">
        <w:t>Tarrow</w:t>
      </w:r>
      <w:proofErr w:type="spellEnd"/>
      <w:r w:rsidR="00CC59CC">
        <w:t xml:space="preserve"> 2011). In addition</w:t>
      </w:r>
      <w:r>
        <w:t>, movement tactics and their influence on the electoral process can be best conceptualized as the first stage in the process of policy outcomes</w:t>
      </w:r>
      <w:proofErr w:type="gramStart"/>
      <w:r>
        <w:t>;</w:t>
      </w:r>
      <w:proofErr w:type="gramEnd"/>
      <w:r>
        <w:t xml:space="preserve"> even before the </w:t>
      </w:r>
      <w:r w:rsidR="00CC59CC">
        <w:t>agenda-setting</w:t>
      </w:r>
      <w:r w:rsidR="00037D3A">
        <w:t xml:space="preserve"> stage</w:t>
      </w:r>
      <w:r w:rsidR="00CC59CC">
        <w:t>. B</w:t>
      </w:r>
      <w:r>
        <w:t>y addressing outcomes more proximal to movement activity (as opposed to distal policy outcomes, where there is the potential for added external influence on the outcome), we can have increased confidence that the outcomes were influenced actual movemen</w:t>
      </w:r>
      <w:r w:rsidR="00CC59CC">
        <w:t>t tactics. Focusing on how movement influence o</w:t>
      </w:r>
      <w:r>
        <w:t xml:space="preserve">n proximal outcomes shapes distal policy outcomes, </w:t>
      </w:r>
      <w:r w:rsidR="00CC59CC">
        <w:t xml:space="preserve">this study highlights </w:t>
      </w:r>
      <w:r>
        <w:t xml:space="preserve">how movements in </w:t>
      </w:r>
      <w:r>
        <w:lastRenderedPageBreak/>
        <w:t>unfavorable contexts engage in tactics to alter the structure of thei</w:t>
      </w:r>
      <w:r w:rsidR="00CC59CC">
        <w:t>r political environment,</w:t>
      </w:r>
      <w:r>
        <w:t xml:space="preserve"> making the process achieving distal goals more likely. </w:t>
      </w:r>
    </w:p>
    <w:p w14:paraId="1544EC27" w14:textId="5D691B83" w:rsidR="008C6AC3" w:rsidRPr="00F776FE" w:rsidRDefault="00BF1078" w:rsidP="008C6AC3">
      <w:pPr>
        <w:spacing w:line="480" w:lineRule="auto"/>
        <w:rPr>
          <w:b/>
        </w:rPr>
      </w:pPr>
      <w:r>
        <w:rPr>
          <w:b/>
        </w:rPr>
        <w:t>METHODS</w:t>
      </w:r>
    </w:p>
    <w:p w14:paraId="4955B621" w14:textId="259BE3BE" w:rsidR="0047749A" w:rsidRPr="000A141F" w:rsidRDefault="000A141F" w:rsidP="0047749A">
      <w:pPr>
        <w:spacing w:line="480" w:lineRule="auto"/>
        <w:rPr>
          <w:b/>
          <w:i/>
        </w:rPr>
      </w:pPr>
      <w:r>
        <w:rPr>
          <w:b/>
          <w:i/>
        </w:rPr>
        <w:t xml:space="preserve">Data </w:t>
      </w:r>
      <w:r w:rsidR="00B5630C">
        <w:rPr>
          <w:b/>
          <w:i/>
        </w:rPr>
        <w:t>and Measures</w:t>
      </w:r>
    </w:p>
    <w:p w14:paraId="1CA9702C" w14:textId="283C1628" w:rsidR="00B35B6C" w:rsidRDefault="00594233" w:rsidP="0082647B">
      <w:pPr>
        <w:spacing w:line="480" w:lineRule="auto"/>
        <w:ind w:firstLine="720"/>
      </w:pPr>
      <w:r>
        <w:t xml:space="preserve">Given the interest in characteristics of the national Tea Party within local contexts, I </w:t>
      </w:r>
      <w:r w:rsidR="00B5630C">
        <w:t xml:space="preserve">include </w:t>
      </w:r>
      <w:r>
        <w:t xml:space="preserve">United States demographic </w:t>
      </w:r>
      <w:r w:rsidR="00B5630C">
        <w:t xml:space="preserve">Census </w:t>
      </w:r>
      <w:r>
        <w:t xml:space="preserve">data </w:t>
      </w:r>
      <w:r w:rsidR="00B5630C">
        <w:t xml:space="preserve">for </w:t>
      </w:r>
      <w:r>
        <w:t xml:space="preserve">all </w:t>
      </w:r>
      <w:r w:rsidR="00503B96">
        <w:t xml:space="preserve">U.S. counties, </w:t>
      </w:r>
      <w:r>
        <w:t xml:space="preserve">taken from the </w:t>
      </w:r>
      <w:r w:rsidR="004B25D2">
        <w:t>American Community Survey 2005-2009</w:t>
      </w:r>
      <w:r w:rsidR="004E4DA1">
        <w:t xml:space="preserve">. </w:t>
      </w:r>
      <w:r w:rsidR="00B5630C">
        <w:t>The data from 2005 to 2009 are utilized, given that it (1) spans the time frame in which Barack Obama elected and (2) p</w:t>
      </w:r>
      <w:r w:rsidR="00B35B6C">
        <w:t>recedes movement tactics in the 2</w:t>
      </w:r>
      <w:r w:rsidR="0082647B">
        <w:t xml:space="preserve">010 Midterm elections. Using these data, I </w:t>
      </w:r>
      <w:r w:rsidR="00B35B6C">
        <w:t>control for county-level characteristics outside the variables of interest.</w:t>
      </w:r>
      <w:r w:rsidR="0082647B">
        <w:t xml:space="preserve"> </w:t>
      </w:r>
      <w:r w:rsidR="00B35B6C">
        <w:t xml:space="preserve">Given that many Tea Party supporters are religiously affiliated with Fundamentalist or Evangelical denominations, </w:t>
      </w:r>
      <w:r w:rsidR="00744F32">
        <w:t xml:space="preserve">I control for </w:t>
      </w:r>
      <w:r w:rsidR="00B35B6C">
        <w:t>religious makeup of the county using data from the Association of Religion Data Archives</w:t>
      </w:r>
      <w:r w:rsidR="00745198">
        <w:t>. The d</w:t>
      </w:r>
      <w:r w:rsidR="0082647B">
        <w:t xml:space="preserve">ata set includes the </w:t>
      </w:r>
      <w:r w:rsidR="00745198">
        <w:t>proportion of people in the cou</w:t>
      </w:r>
      <w:r w:rsidR="0082647B">
        <w:t xml:space="preserve">nty affiliated with </w:t>
      </w:r>
      <w:r w:rsidR="00745198">
        <w:t xml:space="preserve">different denominations. These data are included to </w:t>
      </w:r>
      <w:r w:rsidR="0082647B">
        <w:t>demonstrate that</w:t>
      </w:r>
      <w:r w:rsidR="00745198">
        <w:t xml:space="preserve"> net of religious factors, the Tea Party was able to influence the Midterms. </w:t>
      </w:r>
    </w:p>
    <w:p w14:paraId="409803A8" w14:textId="46B81742" w:rsidR="0040287F" w:rsidRDefault="00503B96" w:rsidP="00327F88">
      <w:pPr>
        <w:spacing w:line="480" w:lineRule="auto"/>
        <w:ind w:firstLine="720"/>
      </w:pPr>
      <w:r>
        <w:t>The pri</w:t>
      </w:r>
      <w:r w:rsidR="003034E3">
        <w:t>mary independent variable</w:t>
      </w:r>
      <w:r w:rsidR="0040287F">
        <w:t>s come from the Institute for Research and Education on Human Rights. These include the number of Tea Pa</w:t>
      </w:r>
      <w:r w:rsidR="0082647B">
        <w:t>rty organizations in the county</w:t>
      </w:r>
      <w:r w:rsidR="0040287F">
        <w:t xml:space="preserve"> and the number of movement rallies and protests between January 2009 and November 2010. </w:t>
      </w:r>
      <w:r w:rsidR="000E39F6">
        <w:t>I o</w:t>
      </w:r>
      <w:r w:rsidR="0082647B">
        <w:t>perationalize Tea Party mobilization</w:t>
      </w:r>
      <w:r w:rsidR="000E39F6">
        <w:t xml:space="preserve"> as the number of organizations in the county and Tea Party tactics </w:t>
      </w:r>
      <w:r w:rsidR="0082647B">
        <w:t>as the number of rallies and protests</w:t>
      </w:r>
      <w:r w:rsidR="000E39F6">
        <w:t xml:space="preserve"> in the year prior to the 2010 Midterms. These data will allow me to isolate the ef</w:t>
      </w:r>
      <w:r w:rsidR="0082647B">
        <w:t xml:space="preserve">fects of Tea Party mobilization </w:t>
      </w:r>
      <w:r w:rsidR="000E39F6">
        <w:t xml:space="preserve">and tactics, net of demographic and religious factors. </w:t>
      </w:r>
    </w:p>
    <w:p w14:paraId="1A9ED869" w14:textId="41BE1709" w:rsidR="00BF7B8F" w:rsidRPr="00136F34" w:rsidRDefault="00BF7B8F" w:rsidP="00BF7B8F">
      <w:pPr>
        <w:spacing w:line="480" w:lineRule="auto"/>
        <w:ind w:firstLine="720"/>
      </w:pPr>
      <w:r>
        <w:t xml:space="preserve">In addition, from Congressional Quarterly’s </w:t>
      </w:r>
      <w:r>
        <w:rPr>
          <w:i/>
        </w:rPr>
        <w:t>America Votes</w:t>
      </w:r>
      <w:r>
        <w:t xml:space="preserve">, I include a measure of partisanship, operationalized as the percentage of the vote in 2008, coded as 1 for majority </w:t>
      </w:r>
      <w:r>
        <w:lastRenderedPageBreak/>
        <w:t>Democratic and 0 for majority Republican. Additionally,</w:t>
      </w:r>
      <w:r w:rsidR="00C71D48">
        <w:t xml:space="preserve"> given the interest in overall changes in electoral politics, I include </w:t>
      </w:r>
      <w:r w:rsidR="00CE600E">
        <w:t>two primary dependent variables</w:t>
      </w:r>
      <w:r>
        <w:t xml:space="preserve">: suppression of voter turnout and Tea Party vote. </w:t>
      </w:r>
      <w:r w:rsidR="003F4FCD">
        <w:t>Voter suppression is measured as change in county voter turnout from the 2008 national election to the 2010 Midterms, as a proportion of eligible</w:t>
      </w:r>
      <w:r w:rsidR="00136F34">
        <w:t xml:space="preserve"> voters. I use the term voter suppression because as other scholars have demonstrated (McDonald 2010, 2011), voter turnout decreases from national elections to midterm elections. As such, this project will explain </w:t>
      </w:r>
      <w:r w:rsidR="00136F34">
        <w:rPr>
          <w:i/>
        </w:rPr>
        <w:t>how much</w:t>
      </w:r>
      <w:r w:rsidR="00136F34">
        <w:t xml:space="preserve"> of that decrease can be explained by Tea Party mobilizat</w:t>
      </w:r>
      <w:r w:rsidR="0082647B">
        <w:t>ion and tactics. Since I believe</w:t>
      </w:r>
      <w:r w:rsidR="00136F34">
        <w:t xml:space="preserve"> voter suppression influences the ele</w:t>
      </w:r>
      <w:r w:rsidR="0082647B">
        <w:t xml:space="preserve">ctoral outcome of the Midterms, </w:t>
      </w:r>
      <w:r w:rsidR="00956DB9">
        <w:t xml:space="preserve">my second measure is </w:t>
      </w:r>
      <w:r w:rsidR="00136F34">
        <w:t>the percentage of county votes for the Tea Party-e</w:t>
      </w:r>
      <w:r w:rsidR="00956DB9">
        <w:t>ndorsed Senate candidate.</w:t>
      </w:r>
      <w:r w:rsidR="00136F34">
        <w:t xml:space="preserve"> I use senate candidates because the Senate votes are directly rel</w:t>
      </w:r>
      <w:r w:rsidR="00777510">
        <w:t>ated to states, and counties are a more stable unit o</w:t>
      </w:r>
      <w:r w:rsidR="0082647B">
        <w:t xml:space="preserve">f analysis, whereas boundaries House </w:t>
      </w:r>
      <w:r w:rsidR="00777510">
        <w:t>congressional districts f</w:t>
      </w:r>
      <w:r w:rsidR="00956DB9">
        <w:t xml:space="preserve">requently change. </w:t>
      </w:r>
      <w:r w:rsidR="00777510">
        <w:t xml:space="preserve">Tea Party candidates </w:t>
      </w:r>
      <w:r w:rsidR="00956DB9">
        <w:t xml:space="preserve">are coded </w:t>
      </w:r>
      <w:r w:rsidR="006334FE">
        <w:t>as t</w:t>
      </w:r>
      <w:r w:rsidR="004311E8">
        <w:t>hose</w:t>
      </w:r>
      <w:r w:rsidR="00C8419D">
        <w:t xml:space="preserve"> </w:t>
      </w:r>
      <w:r w:rsidR="006334FE">
        <w:t xml:space="preserve">endorsed by </w:t>
      </w:r>
      <w:r w:rsidR="00C8419D">
        <w:t xml:space="preserve">the </w:t>
      </w:r>
      <w:r w:rsidR="00956DB9">
        <w:t>Tea Party Express (</w:t>
      </w:r>
      <w:r w:rsidR="009E15CC">
        <w:t>Tea Party Express 2010)</w:t>
      </w:r>
      <w:proofErr w:type="gramStart"/>
      <w:r w:rsidR="009E15CC">
        <w:t>;</w:t>
      </w:r>
      <w:proofErr w:type="gramEnd"/>
      <w:r w:rsidR="009E15CC">
        <w:t xml:space="preserve"> </w:t>
      </w:r>
      <w:r w:rsidR="00C8419D">
        <w:t xml:space="preserve">the only Tea Party </w:t>
      </w:r>
      <w:r w:rsidR="00956DB9">
        <w:t xml:space="preserve">faction that endorsed candidates during the 2010 Midterms. </w:t>
      </w:r>
    </w:p>
    <w:p w14:paraId="3EB7CCE5" w14:textId="77777777" w:rsidR="00B35B6C" w:rsidRPr="00B5630C" w:rsidRDefault="00B35B6C" w:rsidP="00B35B6C">
      <w:pPr>
        <w:spacing w:line="480" w:lineRule="auto"/>
        <w:rPr>
          <w:b/>
          <w:i/>
        </w:rPr>
      </w:pPr>
      <w:r w:rsidRPr="00B5630C">
        <w:rPr>
          <w:b/>
          <w:i/>
        </w:rPr>
        <w:t>Analytic Strategy</w:t>
      </w:r>
    </w:p>
    <w:p w14:paraId="7291DCE7" w14:textId="60476A18" w:rsidR="00B5630C" w:rsidRPr="007C4AA7" w:rsidRDefault="00B5630C" w:rsidP="00B5630C">
      <w:pPr>
        <w:spacing w:line="480" w:lineRule="auto"/>
        <w:ind w:firstLine="720"/>
      </w:pPr>
      <w:r w:rsidRPr="007C4AA7">
        <w:t>It is argued that the movement was able to have an impact on electoral po</w:t>
      </w:r>
      <w:r w:rsidR="009236F7">
        <w:t xml:space="preserve">litics </w:t>
      </w:r>
      <w:r w:rsidR="006527A0">
        <w:t xml:space="preserve">in two ways: by </w:t>
      </w:r>
      <w:r w:rsidR="009236F7">
        <w:t>mobilization in Republican contexts or through voter suppression in Democratic contexts</w:t>
      </w:r>
      <w:r w:rsidRPr="007C4AA7">
        <w:t xml:space="preserve">. First, the Tea Party engaged in tactics at the local levels that were aimed at suppressing voter turnout. Not only were local organizations staging rallies and protests, many even took up legal means, claiming voter fraud against Democratic registration organizations. In addition, in the weeks leading up to the election, local organizations held a number of protests, perhaps in efforts to intimidate voters in order to decrease their turnout. Secondly, these decreases in voter turnout ultimately led to (mediated) Tea Party Republican successes in the Midterms. Importantly, however, Tea Party organizations operated within different local partisan contexts </w:t>
      </w:r>
      <w:r w:rsidRPr="007C4AA7">
        <w:lastRenderedPageBreak/>
        <w:t xml:space="preserve">across the nation, some favorable by being heavily Republican, others majority Democratic and unfavorable. Furthermore, it is expected that the Tea Party tried to “fit” their tactics to their local political contexts, and these tactics will be (1) more or less assertive and (2) more or less effective dependent upon the local partisan contexts in which the organizations operated. As such, voter suppression will operate differently in these contexts. For example, voter suppression might not be a necessary tactic in favorable Republican contexts. </w:t>
      </w:r>
    </w:p>
    <w:p w14:paraId="38374490" w14:textId="455873A2" w:rsidR="00B35B6C" w:rsidRDefault="00B5630C" w:rsidP="00B35B6C">
      <w:pPr>
        <w:spacing w:line="480" w:lineRule="auto"/>
        <w:ind w:firstLine="720"/>
      </w:pPr>
      <w:r w:rsidRPr="007C4AA7">
        <w:t>Taken together, there are three possible pathways to the types of influenc</w:t>
      </w:r>
      <w:r w:rsidR="009236F7">
        <w:t>e in the 2010 Midterms. I</w:t>
      </w:r>
      <w:r w:rsidRPr="007C4AA7">
        <w:t>n Republican local contexts, the Tea Party simply being mobilized in a local context (without assertive tactics) will lead to Midterm influence by getting Tea Party-endorsed candidates a large percentage of the vote. These favorable contexts would experience less assertive tactics (less protest), thereby not suppressing voter turnout, which would lead to higher proportions of the vote going to Tea Party backed candidates. In Democratic partisan local contexts, however, there are two possible pathways to influenc</w:t>
      </w:r>
      <w:r w:rsidR="009236F7">
        <w:t>e. I</w:t>
      </w:r>
      <w:r w:rsidRPr="007C4AA7">
        <w:t>t is believed that in Democratic local contexts, simply being mobilized will not be sufficient for Tea Party candidates getting an increased percentage of the vote. Alternatively, by engaging in increasingly assertive tactics (protest and rallies), the Tea Party will be able to achieve one outcome that will influence a second: suppressing voter turnout which leads to higher percentages of votes for the Tea Party candidate. This latter pathway is the most interesting in that it demonstrates how a movement adopts assertive strategies to influence (and discourage) voters as a way of overcoming their unfavorable position in that context, and ultimately restructuring that context.</w:t>
      </w:r>
    </w:p>
    <w:p w14:paraId="64406BAB" w14:textId="67DA8FAF" w:rsidR="00334E06" w:rsidRDefault="009236F7" w:rsidP="00F53FA4">
      <w:pPr>
        <w:spacing w:line="480" w:lineRule="auto"/>
        <w:ind w:firstLine="720"/>
      </w:pPr>
      <w:r>
        <w:t xml:space="preserve">Given these expected pathways to influence, </w:t>
      </w:r>
      <w:r w:rsidR="00C8419D">
        <w:t xml:space="preserve">I </w:t>
      </w:r>
      <w:r w:rsidR="00B5630C">
        <w:t>comp</w:t>
      </w:r>
      <w:r>
        <w:t>ute a series of OLS regressions, followed by a supplemental lo</w:t>
      </w:r>
      <w:r w:rsidR="00C8419D">
        <w:t>gistic regression. First, I</w:t>
      </w:r>
      <w:r>
        <w:t xml:space="preserve"> predict voter su</w:t>
      </w:r>
      <w:r w:rsidR="00C8419D">
        <w:t>ppression</w:t>
      </w:r>
      <w:r>
        <w:t xml:space="preserve"> using an OLS regression, accounting for Tea Party mobilization and tactics, while </w:t>
      </w:r>
      <w:r w:rsidRPr="00C67566">
        <w:t xml:space="preserve">controlling for partisanship </w:t>
      </w:r>
      <w:r w:rsidRPr="00C67566">
        <w:lastRenderedPageBreak/>
        <w:t>and demographic characteristics, and including state-level fixed effects. The fixed effects design allows fo</w:t>
      </w:r>
      <w:r w:rsidR="00F53FA4" w:rsidRPr="00C67566">
        <w:t>r increased confidence in the findings for county-level effects, and</w:t>
      </w:r>
      <w:r w:rsidR="00F53FA4">
        <w:t xml:space="preserve"> is equivalent to including a dichotomous variable for each state.</w:t>
      </w:r>
      <w:r w:rsidR="00C8419D">
        <w:t xml:space="preserve"> In the second analysis, I</w:t>
      </w:r>
      <w:r>
        <w:t xml:space="preserve"> include the voter suppression as an independent</w:t>
      </w:r>
      <w:r w:rsidR="00C8419D">
        <w:t xml:space="preserve"> variable</w:t>
      </w:r>
      <w:r>
        <w:t>. This OLS regression will be used to predict the percentage of the vote for Tea Party candidates, accounting for voter suppression, Tea Party mobilization and tactics, while controlling for partisansh</w:t>
      </w:r>
      <w:r w:rsidR="006258C6">
        <w:t>ip and</w:t>
      </w:r>
      <w:r>
        <w:t xml:space="preserve"> demographic characteristics</w:t>
      </w:r>
      <w:r w:rsidR="006258C6">
        <w:t>,</w:t>
      </w:r>
      <w:r>
        <w:t xml:space="preserve"> and including state-level fixed effects.</w:t>
      </w:r>
      <w:r w:rsidR="006258C6">
        <w:t xml:space="preserve"> Finally, I</w:t>
      </w:r>
      <w:r w:rsidR="00C8419D">
        <w:t xml:space="preserve"> compute </w:t>
      </w:r>
      <w:r w:rsidR="006258C6">
        <w:t xml:space="preserve">a logistic regression to calculate the likelihood of a candidate winning in a county, accounting for voter suppression, Tea Party mobilization and tactics, controlling for partisanship and demographic characteristics. This supplemental analysis will </w:t>
      </w:r>
      <w:r w:rsidR="00C8419D">
        <w:t>explore</w:t>
      </w:r>
      <w:r w:rsidR="006258C6">
        <w:t xml:space="preserve"> factors that lead to a Tea Party candidate wi</w:t>
      </w:r>
      <w:r w:rsidR="00C8419D">
        <w:t xml:space="preserve">nning </w:t>
      </w:r>
      <w:r w:rsidR="00334E06">
        <w:t>in a county.</w:t>
      </w:r>
    </w:p>
    <w:p w14:paraId="4B04CC66" w14:textId="77777777" w:rsidR="00334E06" w:rsidRPr="004A7C39" w:rsidRDefault="00334E06" w:rsidP="00334E06">
      <w:pPr>
        <w:spacing w:line="480" w:lineRule="auto"/>
        <w:rPr>
          <w:b/>
        </w:rPr>
      </w:pPr>
      <w:r w:rsidRPr="004A7C39">
        <w:rPr>
          <w:b/>
          <w:i/>
        </w:rPr>
        <w:t>Limitations</w:t>
      </w:r>
    </w:p>
    <w:p w14:paraId="3D34378C" w14:textId="03ABAF07" w:rsidR="00334E06" w:rsidRDefault="004206E2" w:rsidP="00334E06">
      <w:pPr>
        <w:spacing w:line="480" w:lineRule="auto"/>
        <w:ind w:firstLine="720"/>
      </w:pPr>
      <w:r>
        <w:t>There are, however, l</w:t>
      </w:r>
      <w:r w:rsidR="006C0A8E">
        <w:t>imitations that inhibit making</w:t>
      </w:r>
      <w:r>
        <w:t xml:space="preserve"> claims about the Tea Party’s</w:t>
      </w:r>
      <w:r w:rsidR="007D1D67">
        <w:t xml:space="preserve"> proximal</w:t>
      </w:r>
      <w:r w:rsidR="00C8419D">
        <w:t xml:space="preserve"> impact i</w:t>
      </w:r>
      <w:r>
        <w:t>n the</w:t>
      </w:r>
      <w:r w:rsidR="007D1D67">
        <w:t xml:space="preserve"> 2010 Midterm elections. First, not all states h</w:t>
      </w:r>
      <w:r w:rsidR="00C8419D">
        <w:t>eld Midterm elections in 2010, and a</w:t>
      </w:r>
      <w:r w:rsidR="007D1D67">
        <w:t xml:space="preserve">ny results gleaned from the analysis </w:t>
      </w:r>
      <w:r w:rsidR="00C8419D">
        <w:t>are only</w:t>
      </w:r>
      <w:r w:rsidR="007D1D67">
        <w:t xml:space="preserve"> generalizable to those states and counties that held elections. However, since the analysis demonstrates the conditions under which the </w:t>
      </w:r>
      <w:r w:rsidR="00935359">
        <w:t xml:space="preserve">Tea Party was able to impact the electoral process, the findings </w:t>
      </w:r>
      <w:r w:rsidR="00C8419D">
        <w:t>might be applicable to</w:t>
      </w:r>
      <w:r w:rsidR="00935359">
        <w:t xml:space="preserve"> local contexts with similar conditions. Secondly, the data includ</w:t>
      </w:r>
      <w:r w:rsidR="00C97BE9">
        <w:t>ed in this study are for S</w:t>
      </w:r>
      <w:r w:rsidR="006C0A8E">
        <w:t>enate, not House candidates</w:t>
      </w:r>
      <w:r w:rsidR="00C97BE9">
        <w:t xml:space="preserve">. This issue is </w:t>
      </w:r>
      <w:r w:rsidR="00C8419D">
        <w:t xml:space="preserve">both </w:t>
      </w:r>
      <w:r w:rsidR="00C97BE9">
        <w:t>substantive and</w:t>
      </w:r>
      <w:r w:rsidR="00C8419D">
        <w:t xml:space="preserve"> methodological. Although</w:t>
      </w:r>
      <w:r w:rsidR="00C97BE9">
        <w:t xml:space="preserve"> the Tea Party endorsed more House cand</w:t>
      </w:r>
      <w:r w:rsidR="006C0A8E">
        <w:t xml:space="preserve">idates than Senate candidates, </w:t>
      </w:r>
      <w:r w:rsidR="00C97BE9">
        <w:t xml:space="preserve">there were substantively sufficient numbers of </w:t>
      </w:r>
      <w:r w:rsidR="00AD3730">
        <w:t xml:space="preserve">Senate </w:t>
      </w:r>
      <w:r w:rsidR="00C97BE9">
        <w:t>endorsements to al</w:t>
      </w:r>
      <w:r w:rsidR="006C0A8E">
        <w:t xml:space="preserve">low for variability between </w:t>
      </w:r>
      <w:r w:rsidR="00C97BE9">
        <w:t xml:space="preserve">states. </w:t>
      </w:r>
      <w:r w:rsidR="00AD3730">
        <w:t xml:space="preserve">Additionally, since the boundaries of House congressional districts frequently change between elections, counties provide a more stable unit of analysis. Third, specific Tea Party organizations engaged in legal suits with Democratic voter registration organizations, it might be appropriate to include these in the analysis of movement </w:t>
      </w:r>
      <w:r w:rsidR="00AD3730">
        <w:lastRenderedPageBreak/>
        <w:t>tactics. However, because there ar</w:t>
      </w:r>
      <w:r w:rsidR="006C0A8E">
        <w:t xml:space="preserve">e no adequate data on </w:t>
      </w:r>
      <w:r w:rsidR="00AD3730">
        <w:t>tactics outside of pr</w:t>
      </w:r>
      <w:r w:rsidR="006C0A8E">
        <w:t xml:space="preserve">otest and rallies, these must be </w:t>
      </w:r>
      <w:r w:rsidR="00AD3730">
        <w:t xml:space="preserve">overlooked. Finally, given these issues, the current study does not make causal arguments between the Tea Party’s mobilization and tactics and their outcomes in the 2010 Midterms. Rather, I draw </w:t>
      </w:r>
      <w:r w:rsidR="004D59CF">
        <w:t xml:space="preserve">comparisons about the conditions under which the movement achieved certain outcomes, based on their tactics, mobilization and context. </w:t>
      </w:r>
    </w:p>
    <w:p w14:paraId="69F735CB" w14:textId="7FECE8FF" w:rsidR="00BF1078" w:rsidRPr="006527A0" w:rsidRDefault="004D59CF" w:rsidP="006527A0">
      <w:pPr>
        <w:spacing w:line="480" w:lineRule="auto"/>
        <w:ind w:firstLine="720"/>
      </w:pPr>
      <w:r>
        <w:t>Despite these issues, the current study extends the political mediati</w:t>
      </w:r>
      <w:r w:rsidR="005E5411">
        <w:t xml:space="preserve">on model. Instead of a focus on policy outcomes, </w:t>
      </w:r>
      <w:r>
        <w:t>which are distal from mo</w:t>
      </w:r>
      <w:r w:rsidR="005E5411">
        <w:t>vement mobilization and activity</w:t>
      </w:r>
      <w:r w:rsidR="00BF1078">
        <w:t xml:space="preserve">, </w:t>
      </w:r>
      <w:r w:rsidR="005E5411">
        <w:t>th</w:t>
      </w:r>
      <w:r w:rsidR="00BF1078">
        <w:t xml:space="preserve">e current study focuses on </w:t>
      </w:r>
      <w:r w:rsidR="005E5411">
        <w:t>proximal outcomes that are closer to movement activity in order to draw cle</w:t>
      </w:r>
      <w:r w:rsidR="00BF1078">
        <w:t>arer connections between movement and outcome</w:t>
      </w:r>
      <w:r w:rsidR="005E5411">
        <w:t xml:space="preserve">. The focus on voter suppression and congressional </w:t>
      </w:r>
      <w:r w:rsidR="006C0A8E">
        <w:t>representation allows scholar</w:t>
      </w:r>
      <w:r w:rsidR="005E5411">
        <w:t>s to focus on a new and mediated fir</w:t>
      </w:r>
      <w:r w:rsidR="006C0A8E">
        <w:t>st stage of the policy process</w:t>
      </w:r>
      <w:r w:rsidR="005E5411">
        <w:t xml:space="preserve">. </w:t>
      </w:r>
      <w:r w:rsidR="006C0A8E">
        <w:t>Furthermore</w:t>
      </w:r>
      <w:r w:rsidR="005E5411">
        <w:t xml:space="preserve">, if political context mediates movement outcomes, and that context is prohibitive for movement demands, movements </w:t>
      </w:r>
      <w:r w:rsidR="006527A0">
        <w:t xml:space="preserve">can more proximally </w:t>
      </w:r>
      <w:r w:rsidR="005E5411">
        <w:t>restructure their political environment by suppressing vote</w:t>
      </w:r>
      <w:r w:rsidR="004A7C39">
        <w:t>r turnout as a means of increasing the likelihood that more favorable actors will replace previous actor</w:t>
      </w:r>
      <w:r w:rsidR="006527A0">
        <w:t>s, in order to ensure</w:t>
      </w:r>
      <w:r w:rsidR="004A7C39">
        <w:t xml:space="preserve"> success of distal policy goals. </w:t>
      </w:r>
    </w:p>
    <w:p w14:paraId="1743CF7A" w14:textId="3EB36BF5" w:rsidR="00334E06" w:rsidRPr="004A7C39" w:rsidRDefault="00334E06" w:rsidP="00334E06">
      <w:pPr>
        <w:spacing w:line="480" w:lineRule="auto"/>
        <w:rPr>
          <w:b/>
        </w:rPr>
      </w:pPr>
      <w:r w:rsidRPr="004A7C39">
        <w:rPr>
          <w:b/>
          <w:i/>
        </w:rPr>
        <w:t>Timeline</w:t>
      </w:r>
    </w:p>
    <w:tbl>
      <w:tblPr>
        <w:tblW w:w="5000" w:type="pct"/>
        <w:tblLook w:val="04A0" w:firstRow="1" w:lastRow="0" w:firstColumn="1" w:lastColumn="0" w:noHBand="0" w:noVBand="1"/>
      </w:tblPr>
      <w:tblGrid>
        <w:gridCol w:w="266"/>
        <w:gridCol w:w="2276"/>
        <w:gridCol w:w="1011"/>
        <w:gridCol w:w="1055"/>
        <w:gridCol w:w="989"/>
        <w:gridCol w:w="933"/>
        <w:gridCol w:w="1023"/>
        <w:gridCol w:w="1044"/>
        <w:gridCol w:w="979"/>
      </w:tblGrid>
      <w:tr w:rsidR="00F0577E" w:rsidRPr="006C0A8E" w14:paraId="0C32551D" w14:textId="77777777" w:rsidTr="006527A0">
        <w:trPr>
          <w:trHeight w:val="300"/>
        </w:trPr>
        <w:tc>
          <w:tcPr>
            <w:tcW w:w="1328"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3A5FFB" w14:textId="77777777" w:rsidR="00F0577E" w:rsidRPr="006C0A8E" w:rsidRDefault="00F0577E" w:rsidP="00F0577E">
            <w:pPr>
              <w:jc w:val="center"/>
              <w:rPr>
                <w:rFonts w:eastAsia="Times New Roman"/>
                <w:color w:val="000000"/>
                <w:sz w:val="20"/>
                <w:szCs w:val="20"/>
              </w:rPr>
            </w:pPr>
            <w:r w:rsidRPr="006C0A8E">
              <w:rPr>
                <w:rFonts w:eastAsia="Times New Roman"/>
                <w:color w:val="000000"/>
                <w:sz w:val="20"/>
                <w:szCs w:val="20"/>
              </w:rPr>
              <w:t> </w:t>
            </w:r>
          </w:p>
        </w:tc>
        <w:tc>
          <w:tcPr>
            <w:tcW w:w="528" w:type="pct"/>
            <w:tcBorders>
              <w:top w:val="single" w:sz="4" w:space="0" w:color="auto"/>
              <w:left w:val="nil"/>
              <w:bottom w:val="single" w:sz="4" w:space="0" w:color="auto"/>
              <w:right w:val="single" w:sz="4" w:space="0" w:color="auto"/>
            </w:tcBorders>
            <w:shd w:val="clear" w:color="auto" w:fill="auto"/>
            <w:noWrap/>
            <w:vAlign w:val="bottom"/>
            <w:hideMark/>
          </w:tcPr>
          <w:p w14:paraId="7A80D1EF"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Apr 2013</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3B02AF0B"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May 2013</w:t>
            </w:r>
          </w:p>
        </w:tc>
        <w:tc>
          <w:tcPr>
            <w:tcW w:w="516" w:type="pct"/>
            <w:tcBorders>
              <w:top w:val="single" w:sz="4" w:space="0" w:color="auto"/>
              <w:left w:val="nil"/>
              <w:bottom w:val="single" w:sz="4" w:space="0" w:color="auto"/>
              <w:right w:val="single" w:sz="4" w:space="0" w:color="auto"/>
            </w:tcBorders>
            <w:shd w:val="clear" w:color="auto" w:fill="auto"/>
            <w:noWrap/>
            <w:vAlign w:val="bottom"/>
            <w:hideMark/>
          </w:tcPr>
          <w:p w14:paraId="7101FE27"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Jun 2013</w:t>
            </w:r>
          </w:p>
        </w:tc>
        <w:tc>
          <w:tcPr>
            <w:tcW w:w="487" w:type="pct"/>
            <w:tcBorders>
              <w:top w:val="single" w:sz="4" w:space="0" w:color="auto"/>
              <w:left w:val="nil"/>
              <w:bottom w:val="single" w:sz="4" w:space="0" w:color="auto"/>
              <w:right w:val="single" w:sz="4" w:space="0" w:color="auto"/>
            </w:tcBorders>
            <w:shd w:val="clear" w:color="auto" w:fill="auto"/>
            <w:noWrap/>
            <w:vAlign w:val="bottom"/>
            <w:hideMark/>
          </w:tcPr>
          <w:p w14:paraId="7480111B"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Jul 2013</w:t>
            </w:r>
          </w:p>
        </w:tc>
        <w:tc>
          <w:tcPr>
            <w:tcW w:w="534" w:type="pct"/>
            <w:tcBorders>
              <w:top w:val="single" w:sz="4" w:space="0" w:color="auto"/>
              <w:left w:val="nil"/>
              <w:bottom w:val="single" w:sz="4" w:space="0" w:color="auto"/>
              <w:right w:val="single" w:sz="4" w:space="0" w:color="auto"/>
            </w:tcBorders>
            <w:shd w:val="clear" w:color="auto" w:fill="auto"/>
            <w:noWrap/>
            <w:vAlign w:val="bottom"/>
            <w:hideMark/>
          </w:tcPr>
          <w:p w14:paraId="701D2B39"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Aug 2013</w:t>
            </w:r>
          </w:p>
        </w:tc>
        <w:tc>
          <w:tcPr>
            <w:tcW w:w="545" w:type="pct"/>
            <w:tcBorders>
              <w:top w:val="single" w:sz="4" w:space="0" w:color="auto"/>
              <w:left w:val="nil"/>
              <w:bottom w:val="single" w:sz="4" w:space="0" w:color="auto"/>
              <w:right w:val="single" w:sz="4" w:space="0" w:color="auto"/>
            </w:tcBorders>
            <w:shd w:val="clear" w:color="auto" w:fill="auto"/>
            <w:noWrap/>
            <w:vAlign w:val="bottom"/>
            <w:hideMark/>
          </w:tcPr>
          <w:p w14:paraId="2A1011A2"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Sept 2013</w:t>
            </w:r>
          </w:p>
        </w:tc>
        <w:tc>
          <w:tcPr>
            <w:tcW w:w="510" w:type="pct"/>
            <w:tcBorders>
              <w:top w:val="single" w:sz="4" w:space="0" w:color="auto"/>
              <w:left w:val="nil"/>
              <w:bottom w:val="single" w:sz="4" w:space="0" w:color="auto"/>
              <w:right w:val="single" w:sz="4" w:space="0" w:color="auto"/>
            </w:tcBorders>
            <w:shd w:val="clear" w:color="auto" w:fill="auto"/>
            <w:noWrap/>
            <w:vAlign w:val="bottom"/>
            <w:hideMark/>
          </w:tcPr>
          <w:p w14:paraId="45814B4B"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Oct 2013</w:t>
            </w:r>
          </w:p>
        </w:tc>
      </w:tr>
      <w:tr w:rsidR="00F0577E" w:rsidRPr="006C0A8E" w14:paraId="21BF0192" w14:textId="77777777" w:rsidTr="00F0577E">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1F7FD59"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Data Collection</w:t>
            </w:r>
          </w:p>
        </w:tc>
      </w:tr>
      <w:tr w:rsidR="00F0577E" w:rsidRPr="006C0A8E" w14:paraId="6EC69F21" w14:textId="77777777" w:rsidTr="006527A0">
        <w:trPr>
          <w:trHeight w:val="341"/>
        </w:trPr>
        <w:tc>
          <w:tcPr>
            <w:tcW w:w="139" w:type="pct"/>
            <w:tcBorders>
              <w:top w:val="nil"/>
              <w:left w:val="single" w:sz="4" w:space="0" w:color="auto"/>
              <w:bottom w:val="single" w:sz="4" w:space="0" w:color="auto"/>
              <w:right w:val="single" w:sz="4" w:space="0" w:color="auto"/>
            </w:tcBorders>
            <w:shd w:val="clear" w:color="auto" w:fill="auto"/>
            <w:noWrap/>
            <w:vAlign w:val="bottom"/>
            <w:hideMark/>
          </w:tcPr>
          <w:p w14:paraId="37AC0766"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1189" w:type="pct"/>
            <w:tcBorders>
              <w:top w:val="nil"/>
              <w:left w:val="nil"/>
              <w:bottom w:val="single" w:sz="4" w:space="0" w:color="auto"/>
              <w:right w:val="single" w:sz="4" w:space="0" w:color="auto"/>
            </w:tcBorders>
            <w:shd w:val="clear" w:color="auto" w:fill="auto"/>
            <w:vAlign w:val="bottom"/>
            <w:hideMark/>
          </w:tcPr>
          <w:p w14:paraId="5DA497DD" w14:textId="32DBB4D3" w:rsidR="00F0577E" w:rsidRPr="006C0A8E" w:rsidRDefault="00F0577E" w:rsidP="006C0A8E">
            <w:pPr>
              <w:rPr>
                <w:rFonts w:eastAsia="Times New Roman"/>
                <w:i/>
                <w:iCs/>
                <w:color w:val="000000"/>
                <w:sz w:val="20"/>
                <w:szCs w:val="20"/>
              </w:rPr>
            </w:pPr>
            <w:r w:rsidRPr="006C0A8E">
              <w:rPr>
                <w:rFonts w:eastAsia="Times New Roman"/>
                <w:i/>
                <w:iCs/>
                <w:color w:val="000000"/>
                <w:sz w:val="20"/>
                <w:szCs w:val="20"/>
              </w:rPr>
              <w:t>Data download</w:t>
            </w:r>
            <w:r w:rsidR="006C0A8E">
              <w:rPr>
                <w:rFonts w:eastAsia="Times New Roman"/>
                <w:i/>
                <w:iCs/>
                <w:color w:val="000000"/>
                <w:sz w:val="20"/>
                <w:szCs w:val="20"/>
              </w:rPr>
              <w:t xml:space="preserve"> / coding</w:t>
            </w:r>
          </w:p>
        </w:tc>
        <w:tc>
          <w:tcPr>
            <w:tcW w:w="528" w:type="pct"/>
            <w:tcBorders>
              <w:top w:val="nil"/>
              <w:left w:val="nil"/>
              <w:bottom w:val="single" w:sz="4" w:space="0" w:color="auto"/>
              <w:right w:val="single" w:sz="4" w:space="0" w:color="auto"/>
            </w:tcBorders>
            <w:shd w:val="clear" w:color="000000" w:fill="B8CCE4"/>
            <w:noWrap/>
            <w:vAlign w:val="bottom"/>
            <w:hideMark/>
          </w:tcPr>
          <w:p w14:paraId="0E62E1E3"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000000" w:fill="B8CCE4"/>
            <w:noWrap/>
            <w:vAlign w:val="bottom"/>
            <w:hideMark/>
          </w:tcPr>
          <w:p w14:paraId="02808AD3"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auto" w:fill="auto"/>
            <w:noWrap/>
            <w:vAlign w:val="bottom"/>
            <w:hideMark/>
          </w:tcPr>
          <w:p w14:paraId="185A6D76"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6026132C"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2FBA5E85"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auto" w:fill="auto"/>
            <w:noWrap/>
            <w:vAlign w:val="bottom"/>
            <w:hideMark/>
          </w:tcPr>
          <w:p w14:paraId="1BC8DE7F"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040C813C"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56E1014F" w14:textId="77777777" w:rsidTr="00F0577E">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3A801"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Data Analysis</w:t>
            </w:r>
          </w:p>
        </w:tc>
      </w:tr>
      <w:tr w:rsidR="00F0577E" w:rsidRPr="006C0A8E" w14:paraId="0E25079A" w14:textId="77777777" w:rsidTr="006527A0">
        <w:trPr>
          <w:trHeight w:val="300"/>
        </w:trPr>
        <w:tc>
          <w:tcPr>
            <w:tcW w:w="139" w:type="pct"/>
            <w:tcBorders>
              <w:top w:val="nil"/>
              <w:left w:val="single" w:sz="4" w:space="0" w:color="auto"/>
              <w:bottom w:val="single" w:sz="4" w:space="0" w:color="auto"/>
              <w:right w:val="single" w:sz="4" w:space="0" w:color="auto"/>
            </w:tcBorders>
            <w:shd w:val="clear" w:color="auto" w:fill="auto"/>
            <w:noWrap/>
            <w:vAlign w:val="bottom"/>
            <w:hideMark/>
          </w:tcPr>
          <w:p w14:paraId="10FC1077"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1189" w:type="pct"/>
            <w:tcBorders>
              <w:top w:val="nil"/>
              <w:left w:val="nil"/>
              <w:bottom w:val="single" w:sz="4" w:space="0" w:color="auto"/>
              <w:right w:val="single" w:sz="4" w:space="0" w:color="auto"/>
            </w:tcBorders>
            <w:shd w:val="clear" w:color="auto" w:fill="auto"/>
            <w:vAlign w:val="bottom"/>
            <w:hideMark/>
          </w:tcPr>
          <w:p w14:paraId="311053C3" w14:textId="77777777" w:rsidR="00F0577E" w:rsidRPr="006C0A8E" w:rsidRDefault="00F0577E" w:rsidP="00F0577E">
            <w:pPr>
              <w:rPr>
                <w:rFonts w:eastAsia="Times New Roman"/>
                <w:i/>
                <w:iCs/>
                <w:color w:val="000000"/>
                <w:sz w:val="20"/>
                <w:szCs w:val="20"/>
              </w:rPr>
            </w:pPr>
            <w:r w:rsidRPr="006C0A8E">
              <w:rPr>
                <w:rFonts w:eastAsia="Times New Roman"/>
                <w:i/>
                <w:iCs/>
                <w:color w:val="000000"/>
                <w:sz w:val="20"/>
                <w:szCs w:val="20"/>
              </w:rPr>
              <w:t>Statistical analysis</w:t>
            </w:r>
          </w:p>
        </w:tc>
        <w:tc>
          <w:tcPr>
            <w:tcW w:w="528" w:type="pct"/>
            <w:tcBorders>
              <w:top w:val="nil"/>
              <w:left w:val="nil"/>
              <w:bottom w:val="single" w:sz="4" w:space="0" w:color="auto"/>
              <w:right w:val="single" w:sz="4" w:space="0" w:color="auto"/>
            </w:tcBorders>
            <w:shd w:val="clear" w:color="000000" w:fill="B8CCE4"/>
            <w:noWrap/>
            <w:vAlign w:val="bottom"/>
            <w:hideMark/>
          </w:tcPr>
          <w:p w14:paraId="5A6A31F6"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000000" w:fill="B8CCE4"/>
            <w:noWrap/>
            <w:vAlign w:val="bottom"/>
            <w:hideMark/>
          </w:tcPr>
          <w:p w14:paraId="370B8734"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000000" w:fill="B8CCE4"/>
            <w:noWrap/>
            <w:vAlign w:val="bottom"/>
            <w:hideMark/>
          </w:tcPr>
          <w:p w14:paraId="504EB1C1"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7606071C"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604BC0BF"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auto" w:fill="auto"/>
            <w:noWrap/>
            <w:vAlign w:val="bottom"/>
            <w:hideMark/>
          </w:tcPr>
          <w:p w14:paraId="552E37B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691CBA54"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73C689AB" w14:textId="77777777" w:rsidTr="00F0577E">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165AE"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Literature Review</w:t>
            </w:r>
          </w:p>
        </w:tc>
      </w:tr>
      <w:tr w:rsidR="00F0577E" w:rsidRPr="006C0A8E" w14:paraId="0E03AF19" w14:textId="77777777" w:rsidTr="006527A0">
        <w:trPr>
          <w:trHeight w:val="300"/>
        </w:trPr>
        <w:tc>
          <w:tcPr>
            <w:tcW w:w="139" w:type="pct"/>
            <w:tcBorders>
              <w:top w:val="nil"/>
              <w:left w:val="single" w:sz="4" w:space="0" w:color="auto"/>
              <w:bottom w:val="single" w:sz="4" w:space="0" w:color="000000"/>
              <w:right w:val="single" w:sz="4" w:space="0" w:color="auto"/>
            </w:tcBorders>
            <w:shd w:val="clear" w:color="auto" w:fill="auto"/>
            <w:noWrap/>
            <w:vAlign w:val="bottom"/>
            <w:hideMark/>
          </w:tcPr>
          <w:p w14:paraId="229C4D93" w14:textId="77777777" w:rsidR="00F0577E" w:rsidRPr="006C0A8E" w:rsidRDefault="00F0577E" w:rsidP="00F0577E">
            <w:pPr>
              <w:jc w:val="center"/>
              <w:rPr>
                <w:rFonts w:eastAsia="Times New Roman"/>
                <w:color w:val="000000"/>
                <w:sz w:val="20"/>
                <w:szCs w:val="20"/>
              </w:rPr>
            </w:pPr>
            <w:r w:rsidRPr="006C0A8E">
              <w:rPr>
                <w:rFonts w:eastAsia="Times New Roman"/>
                <w:color w:val="000000"/>
                <w:sz w:val="20"/>
                <w:szCs w:val="20"/>
              </w:rPr>
              <w:t> </w:t>
            </w:r>
          </w:p>
        </w:tc>
        <w:tc>
          <w:tcPr>
            <w:tcW w:w="1189" w:type="pct"/>
            <w:tcBorders>
              <w:top w:val="nil"/>
              <w:left w:val="nil"/>
              <w:bottom w:val="single" w:sz="4" w:space="0" w:color="auto"/>
              <w:right w:val="single" w:sz="4" w:space="0" w:color="auto"/>
            </w:tcBorders>
            <w:shd w:val="clear" w:color="auto" w:fill="auto"/>
            <w:vAlign w:val="bottom"/>
            <w:hideMark/>
          </w:tcPr>
          <w:p w14:paraId="6158BBF8" w14:textId="485D0F80" w:rsidR="00F0577E" w:rsidRPr="006C0A8E" w:rsidRDefault="006527A0" w:rsidP="00F0577E">
            <w:pPr>
              <w:rPr>
                <w:rFonts w:eastAsia="Times New Roman"/>
                <w:i/>
                <w:iCs/>
                <w:color w:val="000000"/>
                <w:sz w:val="20"/>
                <w:szCs w:val="20"/>
              </w:rPr>
            </w:pPr>
            <w:r>
              <w:rPr>
                <w:rFonts w:eastAsia="Times New Roman"/>
                <w:i/>
                <w:iCs/>
                <w:color w:val="000000"/>
                <w:sz w:val="20"/>
                <w:szCs w:val="20"/>
              </w:rPr>
              <w:t>Case History / Literature</w:t>
            </w:r>
          </w:p>
        </w:tc>
        <w:tc>
          <w:tcPr>
            <w:tcW w:w="528" w:type="pct"/>
            <w:tcBorders>
              <w:top w:val="nil"/>
              <w:left w:val="nil"/>
              <w:bottom w:val="single" w:sz="4" w:space="0" w:color="auto"/>
              <w:right w:val="single" w:sz="4" w:space="0" w:color="auto"/>
            </w:tcBorders>
            <w:shd w:val="clear" w:color="auto" w:fill="auto"/>
            <w:noWrap/>
            <w:vAlign w:val="bottom"/>
            <w:hideMark/>
          </w:tcPr>
          <w:p w14:paraId="2430027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000000" w:fill="B8CCE4"/>
            <w:noWrap/>
            <w:vAlign w:val="bottom"/>
            <w:hideMark/>
          </w:tcPr>
          <w:p w14:paraId="60DA91B9"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000000" w:fill="B8CCE4"/>
            <w:noWrap/>
            <w:vAlign w:val="bottom"/>
            <w:hideMark/>
          </w:tcPr>
          <w:p w14:paraId="3C155CE5"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1A998C3E"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0FA5F234"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auto" w:fill="auto"/>
            <w:noWrap/>
            <w:vAlign w:val="bottom"/>
            <w:hideMark/>
          </w:tcPr>
          <w:p w14:paraId="6C4979E6"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59D6518F"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061512C6" w14:textId="77777777" w:rsidTr="00F0577E">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C2BB2"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Article Writing</w:t>
            </w:r>
          </w:p>
        </w:tc>
      </w:tr>
      <w:tr w:rsidR="00F0577E" w:rsidRPr="006C0A8E" w14:paraId="6C6BF823" w14:textId="77777777" w:rsidTr="006527A0">
        <w:trPr>
          <w:trHeight w:val="323"/>
        </w:trPr>
        <w:tc>
          <w:tcPr>
            <w:tcW w:w="139"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17DF7DD" w14:textId="77777777" w:rsidR="00F0577E" w:rsidRPr="006C0A8E" w:rsidRDefault="00F0577E" w:rsidP="00F0577E">
            <w:pPr>
              <w:jc w:val="center"/>
              <w:rPr>
                <w:rFonts w:eastAsia="Times New Roman"/>
                <w:color w:val="000000"/>
                <w:sz w:val="20"/>
                <w:szCs w:val="20"/>
              </w:rPr>
            </w:pPr>
            <w:r w:rsidRPr="006C0A8E">
              <w:rPr>
                <w:rFonts w:eastAsia="Times New Roman"/>
                <w:color w:val="000000"/>
                <w:sz w:val="20"/>
                <w:szCs w:val="20"/>
              </w:rPr>
              <w:t> </w:t>
            </w:r>
          </w:p>
        </w:tc>
        <w:tc>
          <w:tcPr>
            <w:tcW w:w="1189" w:type="pct"/>
            <w:tcBorders>
              <w:top w:val="nil"/>
              <w:left w:val="nil"/>
              <w:bottom w:val="single" w:sz="4" w:space="0" w:color="auto"/>
              <w:right w:val="single" w:sz="4" w:space="0" w:color="auto"/>
            </w:tcBorders>
            <w:shd w:val="clear" w:color="auto" w:fill="auto"/>
            <w:vAlign w:val="bottom"/>
            <w:hideMark/>
          </w:tcPr>
          <w:p w14:paraId="089AD37F" w14:textId="497FC1D7" w:rsidR="00F0577E" w:rsidRPr="006C0A8E" w:rsidRDefault="006C0A8E" w:rsidP="006C0A8E">
            <w:pPr>
              <w:rPr>
                <w:rFonts w:eastAsia="Times New Roman"/>
                <w:i/>
                <w:iCs/>
                <w:color w:val="000000"/>
                <w:sz w:val="20"/>
                <w:szCs w:val="20"/>
              </w:rPr>
            </w:pPr>
            <w:r>
              <w:rPr>
                <w:rFonts w:eastAsia="Times New Roman"/>
                <w:i/>
                <w:iCs/>
                <w:color w:val="000000"/>
                <w:sz w:val="20"/>
                <w:szCs w:val="20"/>
              </w:rPr>
              <w:t>Introduction / Literature</w:t>
            </w:r>
          </w:p>
        </w:tc>
        <w:tc>
          <w:tcPr>
            <w:tcW w:w="528" w:type="pct"/>
            <w:tcBorders>
              <w:top w:val="nil"/>
              <w:left w:val="nil"/>
              <w:bottom w:val="single" w:sz="4" w:space="0" w:color="auto"/>
              <w:right w:val="single" w:sz="4" w:space="0" w:color="auto"/>
            </w:tcBorders>
            <w:shd w:val="clear" w:color="auto" w:fill="auto"/>
            <w:noWrap/>
            <w:vAlign w:val="bottom"/>
            <w:hideMark/>
          </w:tcPr>
          <w:p w14:paraId="36B06C81"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293F61A3"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000000" w:fill="B8CCE4"/>
            <w:noWrap/>
            <w:vAlign w:val="bottom"/>
            <w:hideMark/>
          </w:tcPr>
          <w:p w14:paraId="7F917CB5"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000000" w:fill="B8CCE4"/>
            <w:noWrap/>
            <w:vAlign w:val="bottom"/>
            <w:hideMark/>
          </w:tcPr>
          <w:p w14:paraId="0B6A2B6F"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03110896"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auto" w:fill="auto"/>
            <w:noWrap/>
            <w:vAlign w:val="bottom"/>
            <w:hideMark/>
          </w:tcPr>
          <w:p w14:paraId="3F830C01"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21704DF8"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3984190B" w14:textId="77777777" w:rsidTr="006527A0">
        <w:trPr>
          <w:trHeight w:val="300"/>
        </w:trPr>
        <w:tc>
          <w:tcPr>
            <w:tcW w:w="139" w:type="pct"/>
            <w:vMerge/>
            <w:tcBorders>
              <w:top w:val="nil"/>
              <w:left w:val="single" w:sz="4" w:space="0" w:color="auto"/>
              <w:bottom w:val="single" w:sz="4" w:space="0" w:color="000000"/>
              <w:right w:val="single" w:sz="4" w:space="0" w:color="auto"/>
            </w:tcBorders>
            <w:vAlign w:val="center"/>
            <w:hideMark/>
          </w:tcPr>
          <w:p w14:paraId="051B36C7" w14:textId="77777777" w:rsidR="00F0577E" w:rsidRPr="006C0A8E" w:rsidRDefault="00F0577E" w:rsidP="00F0577E">
            <w:pPr>
              <w:rPr>
                <w:rFonts w:eastAsia="Times New Roman"/>
                <w:color w:val="000000"/>
                <w:sz w:val="20"/>
                <w:szCs w:val="20"/>
              </w:rPr>
            </w:pPr>
          </w:p>
        </w:tc>
        <w:tc>
          <w:tcPr>
            <w:tcW w:w="1189" w:type="pct"/>
            <w:tcBorders>
              <w:top w:val="nil"/>
              <w:left w:val="nil"/>
              <w:bottom w:val="single" w:sz="4" w:space="0" w:color="auto"/>
              <w:right w:val="single" w:sz="4" w:space="0" w:color="auto"/>
            </w:tcBorders>
            <w:shd w:val="clear" w:color="auto" w:fill="auto"/>
            <w:noWrap/>
            <w:vAlign w:val="bottom"/>
            <w:hideMark/>
          </w:tcPr>
          <w:p w14:paraId="00111EAE" w14:textId="22418392" w:rsidR="00F0577E" w:rsidRPr="006C0A8E" w:rsidRDefault="006C0A8E" w:rsidP="00F0577E">
            <w:pPr>
              <w:rPr>
                <w:rFonts w:eastAsia="Times New Roman"/>
                <w:i/>
                <w:iCs/>
                <w:color w:val="000000"/>
                <w:sz w:val="20"/>
                <w:szCs w:val="20"/>
              </w:rPr>
            </w:pPr>
            <w:r>
              <w:rPr>
                <w:rFonts w:eastAsia="Times New Roman"/>
                <w:i/>
                <w:iCs/>
                <w:color w:val="000000"/>
                <w:sz w:val="20"/>
                <w:szCs w:val="20"/>
              </w:rPr>
              <w:t xml:space="preserve">Data / </w:t>
            </w:r>
            <w:r w:rsidR="00F0577E" w:rsidRPr="006C0A8E">
              <w:rPr>
                <w:rFonts w:eastAsia="Times New Roman"/>
                <w:i/>
                <w:iCs/>
                <w:color w:val="000000"/>
                <w:sz w:val="20"/>
                <w:szCs w:val="20"/>
              </w:rPr>
              <w:t>Methods</w:t>
            </w:r>
            <w:r>
              <w:rPr>
                <w:rFonts w:eastAsia="Times New Roman"/>
                <w:i/>
                <w:iCs/>
                <w:color w:val="000000"/>
                <w:sz w:val="20"/>
                <w:szCs w:val="20"/>
              </w:rPr>
              <w:t xml:space="preserve"> / Results</w:t>
            </w:r>
          </w:p>
        </w:tc>
        <w:tc>
          <w:tcPr>
            <w:tcW w:w="528" w:type="pct"/>
            <w:tcBorders>
              <w:top w:val="nil"/>
              <w:left w:val="nil"/>
              <w:bottom w:val="single" w:sz="4" w:space="0" w:color="auto"/>
              <w:right w:val="single" w:sz="4" w:space="0" w:color="auto"/>
            </w:tcBorders>
            <w:shd w:val="clear" w:color="auto" w:fill="auto"/>
            <w:noWrap/>
            <w:vAlign w:val="bottom"/>
            <w:hideMark/>
          </w:tcPr>
          <w:p w14:paraId="2BD29709"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48F8F2FC"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auto" w:fill="auto"/>
            <w:noWrap/>
            <w:vAlign w:val="bottom"/>
            <w:hideMark/>
          </w:tcPr>
          <w:p w14:paraId="118E964D"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000000" w:fill="B8CCE4"/>
            <w:noWrap/>
            <w:vAlign w:val="bottom"/>
            <w:hideMark/>
          </w:tcPr>
          <w:p w14:paraId="2628B8E7"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034A40D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auto" w:fill="auto"/>
            <w:noWrap/>
            <w:vAlign w:val="bottom"/>
            <w:hideMark/>
          </w:tcPr>
          <w:p w14:paraId="52A690E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5B1115F4"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3B3BE73D" w14:textId="77777777" w:rsidTr="006527A0">
        <w:trPr>
          <w:trHeight w:val="300"/>
        </w:trPr>
        <w:tc>
          <w:tcPr>
            <w:tcW w:w="139" w:type="pct"/>
            <w:vMerge/>
            <w:tcBorders>
              <w:top w:val="nil"/>
              <w:left w:val="single" w:sz="4" w:space="0" w:color="auto"/>
              <w:bottom w:val="single" w:sz="4" w:space="0" w:color="000000"/>
              <w:right w:val="single" w:sz="4" w:space="0" w:color="auto"/>
            </w:tcBorders>
            <w:vAlign w:val="center"/>
            <w:hideMark/>
          </w:tcPr>
          <w:p w14:paraId="01E0AB8F" w14:textId="77777777" w:rsidR="00F0577E" w:rsidRPr="006C0A8E" w:rsidRDefault="00F0577E" w:rsidP="00F0577E">
            <w:pPr>
              <w:rPr>
                <w:rFonts w:eastAsia="Times New Roman"/>
                <w:color w:val="000000"/>
                <w:sz w:val="20"/>
                <w:szCs w:val="20"/>
              </w:rPr>
            </w:pPr>
          </w:p>
        </w:tc>
        <w:tc>
          <w:tcPr>
            <w:tcW w:w="1189" w:type="pct"/>
            <w:tcBorders>
              <w:top w:val="nil"/>
              <w:left w:val="nil"/>
              <w:bottom w:val="single" w:sz="4" w:space="0" w:color="auto"/>
              <w:right w:val="single" w:sz="4" w:space="0" w:color="auto"/>
            </w:tcBorders>
            <w:shd w:val="clear" w:color="auto" w:fill="auto"/>
            <w:noWrap/>
            <w:vAlign w:val="bottom"/>
            <w:hideMark/>
          </w:tcPr>
          <w:p w14:paraId="23224CB7" w14:textId="076BFADA" w:rsidR="00F0577E" w:rsidRPr="006C0A8E" w:rsidRDefault="00F0577E" w:rsidP="00F0577E">
            <w:pPr>
              <w:rPr>
                <w:rFonts w:eastAsia="Times New Roman"/>
                <w:i/>
                <w:iCs/>
                <w:color w:val="000000"/>
                <w:sz w:val="20"/>
                <w:szCs w:val="20"/>
              </w:rPr>
            </w:pPr>
            <w:r w:rsidRPr="006C0A8E">
              <w:rPr>
                <w:rFonts w:eastAsia="Times New Roman"/>
                <w:i/>
                <w:iCs/>
                <w:color w:val="000000"/>
                <w:sz w:val="20"/>
                <w:szCs w:val="20"/>
              </w:rPr>
              <w:t>Discussion / Conclusion</w:t>
            </w:r>
          </w:p>
        </w:tc>
        <w:tc>
          <w:tcPr>
            <w:tcW w:w="528" w:type="pct"/>
            <w:tcBorders>
              <w:top w:val="nil"/>
              <w:left w:val="nil"/>
              <w:bottom w:val="single" w:sz="4" w:space="0" w:color="auto"/>
              <w:right w:val="single" w:sz="4" w:space="0" w:color="auto"/>
            </w:tcBorders>
            <w:shd w:val="clear" w:color="auto" w:fill="auto"/>
            <w:noWrap/>
            <w:vAlign w:val="bottom"/>
            <w:hideMark/>
          </w:tcPr>
          <w:p w14:paraId="75E5D20F"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0CB88888"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auto" w:fill="auto"/>
            <w:noWrap/>
            <w:vAlign w:val="bottom"/>
            <w:hideMark/>
          </w:tcPr>
          <w:p w14:paraId="1E5A7F48"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10D1B7A3"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000000" w:fill="B8CCE4"/>
            <w:noWrap/>
            <w:vAlign w:val="bottom"/>
            <w:hideMark/>
          </w:tcPr>
          <w:p w14:paraId="587EB0D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000000" w:fill="B8CCE4"/>
            <w:noWrap/>
            <w:vAlign w:val="bottom"/>
            <w:hideMark/>
          </w:tcPr>
          <w:p w14:paraId="0F52428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auto" w:fill="auto"/>
            <w:noWrap/>
            <w:vAlign w:val="bottom"/>
            <w:hideMark/>
          </w:tcPr>
          <w:p w14:paraId="61CE1D03"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48DBC77C" w14:textId="77777777" w:rsidTr="00F0577E">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2DF43" w14:textId="77777777" w:rsidR="00F0577E" w:rsidRPr="006C0A8E" w:rsidRDefault="00F0577E" w:rsidP="00F0577E">
            <w:pPr>
              <w:rPr>
                <w:rFonts w:eastAsia="Times New Roman"/>
                <w:b/>
                <w:bCs/>
                <w:color w:val="000000"/>
                <w:sz w:val="20"/>
                <w:szCs w:val="20"/>
              </w:rPr>
            </w:pPr>
            <w:r w:rsidRPr="006C0A8E">
              <w:rPr>
                <w:rFonts w:eastAsia="Times New Roman"/>
                <w:b/>
                <w:bCs/>
                <w:color w:val="000000"/>
                <w:sz w:val="20"/>
                <w:szCs w:val="20"/>
              </w:rPr>
              <w:t>Presenting Research</w:t>
            </w:r>
          </w:p>
        </w:tc>
      </w:tr>
      <w:tr w:rsidR="00F0577E" w:rsidRPr="006C0A8E" w14:paraId="64AADCAD" w14:textId="77777777" w:rsidTr="006527A0">
        <w:trPr>
          <w:trHeight w:val="300"/>
        </w:trPr>
        <w:tc>
          <w:tcPr>
            <w:tcW w:w="139"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280B817" w14:textId="77777777" w:rsidR="00F0577E" w:rsidRPr="006C0A8E" w:rsidRDefault="00F0577E" w:rsidP="00F0577E">
            <w:pPr>
              <w:jc w:val="center"/>
              <w:rPr>
                <w:rFonts w:eastAsia="Times New Roman"/>
                <w:color w:val="000000"/>
                <w:sz w:val="20"/>
                <w:szCs w:val="20"/>
              </w:rPr>
            </w:pPr>
            <w:r w:rsidRPr="006C0A8E">
              <w:rPr>
                <w:rFonts w:eastAsia="Times New Roman"/>
                <w:color w:val="000000"/>
                <w:sz w:val="20"/>
                <w:szCs w:val="20"/>
              </w:rPr>
              <w:t> </w:t>
            </w:r>
          </w:p>
        </w:tc>
        <w:tc>
          <w:tcPr>
            <w:tcW w:w="1189" w:type="pct"/>
            <w:tcBorders>
              <w:top w:val="nil"/>
              <w:left w:val="nil"/>
              <w:bottom w:val="single" w:sz="4" w:space="0" w:color="auto"/>
              <w:right w:val="single" w:sz="4" w:space="0" w:color="auto"/>
            </w:tcBorders>
            <w:shd w:val="clear" w:color="auto" w:fill="auto"/>
            <w:noWrap/>
            <w:vAlign w:val="bottom"/>
            <w:hideMark/>
          </w:tcPr>
          <w:p w14:paraId="0F230E3E" w14:textId="77777777" w:rsidR="00F0577E" w:rsidRPr="006C0A8E" w:rsidRDefault="00F0577E" w:rsidP="00F0577E">
            <w:pPr>
              <w:rPr>
                <w:rFonts w:eastAsia="Times New Roman"/>
                <w:i/>
                <w:iCs/>
                <w:color w:val="000000"/>
                <w:sz w:val="20"/>
                <w:szCs w:val="20"/>
              </w:rPr>
            </w:pPr>
            <w:r w:rsidRPr="006C0A8E">
              <w:rPr>
                <w:rFonts w:eastAsia="Times New Roman"/>
                <w:i/>
                <w:iCs/>
                <w:color w:val="000000"/>
                <w:sz w:val="20"/>
                <w:szCs w:val="20"/>
              </w:rPr>
              <w:t>Conference Abstracts</w:t>
            </w:r>
          </w:p>
        </w:tc>
        <w:tc>
          <w:tcPr>
            <w:tcW w:w="528" w:type="pct"/>
            <w:tcBorders>
              <w:top w:val="nil"/>
              <w:left w:val="nil"/>
              <w:bottom w:val="single" w:sz="4" w:space="0" w:color="auto"/>
              <w:right w:val="single" w:sz="4" w:space="0" w:color="auto"/>
            </w:tcBorders>
            <w:shd w:val="clear" w:color="auto" w:fill="auto"/>
            <w:noWrap/>
            <w:vAlign w:val="bottom"/>
            <w:hideMark/>
          </w:tcPr>
          <w:p w14:paraId="4EE629B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6EDBB02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auto" w:fill="auto"/>
            <w:noWrap/>
            <w:vAlign w:val="bottom"/>
            <w:hideMark/>
          </w:tcPr>
          <w:p w14:paraId="7D02352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58BE7A7A"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1E6D7BA8"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000000" w:fill="B8CCE4"/>
            <w:noWrap/>
            <w:vAlign w:val="bottom"/>
            <w:hideMark/>
          </w:tcPr>
          <w:p w14:paraId="692D8DA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000000" w:fill="B8CCE4"/>
            <w:noWrap/>
            <w:vAlign w:val="bottom"/>
            <w:hideMark/>
          </w:tcPr>
          <w:p w14:paraId="139F632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r w:rsidR="00F0577E" w:rsidRPr="006C0A8E" w14:paraId="4BAF62E8" w14:textId="77777777" w:rsidTr="006527A0">
        <w:trPr>
          <w:trHeight w:val="300"/>
        </w:trPr>
        <w:tc>
          <w:tcPr>
            <w:tcW w:w="139" w:type="pct"/>
            <w:vMerge/>
            <w:tcBorders>
              <w:top w:val="nil"/>
              <w:left w:val="single" w:sz="4" w:space="0" w:color="auto"/>
              <w:bottom w:val="single" w:sz="4" w:space="0" w:color="000000"/>
              <w:right w:val="single" w:sz="4" w:space="0" w:color="auto"/>
            </w:tcBorders>
            <w:vAlign w:val="center"/>
            <w:hideMark/>
          </w:tcPr>
          <w:p w14:paraId="09E0C413" w14:textId="77777777" w:rsidR="00F0577E" w:rsidRPr="006C0A8E" w:rsidRDefault="00F0577E" w:rsidP="00F0577E">
            <w:pPr>
              <w:rPr>
                <w:rFonts w:eastAsia="Times New Roman"/>
                <w:color w:val="000000"/>
                <w:sz w:val="20"/>
                <w:szCs w:val="20"/>
              </w:rPr>
            </w:pPr>
          </w:p>
        </w:tc>
        <w:tc>
          <w:tcPr>
            <w:tcW w:w="1189" w:type="pct"/>
            <w:tcBorders>
              <w:top w:val="nil"/>
              <w:left w:val="nil"/>
              <w:bottom w:val="single" w:sz="4" w:space="0" w:color="auto"/>
              <w:right w:val="single" w:sz="4" w:space="0" w:color="auto"/>
            </w:tcBorders>
            <w:shd w:val="clear" w:color="auto" w:fill="auto"/>
            <w:noWrap/>
            <w:vAlign w:val="bottom"/>
            <w:hideMark/>
          </w:tcPr>
          <w:p w14:paraId="0ECEBD9C" w14:textId="77777777" w:rsidR="00F0577E" w:rsidRPr="006C0A8E" w:rsidRDefault="00F0577E" w:rsidP="00F0577E">
            <w:pPr>
              <w:rPr>
                <w:rFonts w:eastAsia="Times New Roman"/>
                <w:i/>
                <w:iCs/>
                <w:color w:val="000000"/>
                <w:sz w:val="20"/>
                <w:szCs w:val="20"/>
              </w:rPr>
            </w:pPr>
            <w:r w:rsidRPr="006C0A8E">
              <w:rPr>
                <w:rFonts w:eastAsia="Times New Roman"/>
                <w:i/>
                <w:iCs/>
                <w:color w:val="000000"/>
                <w:sz w:val="20"/>
                <w:szCs w:val="20"/>
              </w:rPr>
              <w:t>Funding Proposals</w:t>
            </w:r>
          </w:p>
        </w:tc>
        <w:tc>
          <w:tcPr>
            <w:tcW w:w="528" w:type="pct"/>
            <w:tcBorders>
              <w:top w:val="nil"/>
              <w:left w:val="nil"/>
              <w:bottom w:val="single" w:sz="4" w:space="0" w:color="auto"/>
              <w:right w:val="single" w:sz="4" w:space="0" w:color="auto"/>
            </w:tcBorders>
            <w:shd w:val="clear" w:color="auto" w:fill="auto"/>
            <w:noWrap/>
            <w:vAlign w:val="bottom"/>
            <w:hideMark/>
          </w:tcPr>
          <w:p w14:paraId="2C4CBFB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1762E815"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6" w:type="pct"/>
            <w:tcBorders>
              <w:top w:val="nil"/>
              <w:left w:val="nil"/>
              <w:bottom w:val="single" w:sz="4" w:space="0" w:color="auto"/>
              <w:right w:val="single" w:sz="4" w:space="0" w:color="auto"/>
            </w:tcBorders>
            <w:shd w:val="clear" w:color="auto" w:fill="auto"/>
            <w:noWrap/>
            <w:vAlign w:val="bottom"/>
            <w:hideMark/>
          </w:tcPr>
          <w:p w14:paraId="486E2DFE"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487" w:type="pct"/>
            <w:tcBorders>
              <w:top w:val="nil"/>
              <w:left w:val="nil"/>
              <w:bottom w:val="single" w:sz="4" w:space="0" w:color="auto"/>
              <w:right w:val="single" w:sz="4" w:space="0" w:color="auto"/>
            </w:tcBorders>
            <w:shd w:val="clear" w:color="auto" w:fill="auto"/>
            <w:noWrap/>
            <w:vAlign w:val="bottom"/>
            <w:hideMark/>
          </w:tcPr>
          <w:p w14:paraId="45E7443D"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34" w:type="pct"/>
            <w:tcBorders>
              <w:top w:val="nil"/>
              <w:left w:val="nil"/>
              <w:bottom w:val="single" w:sz="4" w:space="0" w:color="auto"/>
              <w:right w:val="single" w:sz="4" w:space="0" w:color="auto"/>
            </w:tcBorders>
            <w:shd w:val="clear" w:color="auto" w:fill="auto"/>
            <w:noWrap/>
            <w:vAlign w:val="bottom"/>
            <w:hideMark/>
          </w:tcPr>
          <w:p w14:paraId="54319F44"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45" w:type="pct"/>
            <w:tcBorders>
              <w:top w:val="nil"/>
              <w:left w:val="nil"/>
              <w:bottom w:val="single" w:sz="4" w:space="0" w:color="auto"/>
              <w:right w:val="single" w:sz="4" w:space="0" w:color="auto"/>
            </w:tcBorders>
            <w:shd w:val="clear" w:color="000000" w:fill="B8CCE4"/>
            <w:noWrap/>
            <w:vAlign w:val="bottom"/>
            <w:hideMark/>
          </w:tcPr>
          <w:p w14:paraId="0EB7DC02"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c>
          <w:tcPr>
            <w:tcW w:w="510" w:type="pct"/>
            <w:tcBorders>
              <w:top w:val="nil"/>
              <w:left w:val="nil"/>
              <w:bottom w:val="single" w:sz="4" w:space="0" w:color="auto"/>
              <w:right w:val="single" w:sz="4" w:space="0" w:color="auto"/>
            </w:tcBorders>
            <w:shd w:val="clear" w:color="000000" w:fill="B8CCE4"/>
            <w:noWrap/>
            <w:vAlign w:val="bottom"/>
            <w:hideMark/>
          </w:tcPr>
          <w:p w14:paraId="3E7FE635" w14:textId="77777777" w:rsidR="00F0577E" w:rsidRPr="006C0A8E" w:rsidRDefault="00F0577E" w:rsidP="00F0577E">
            <w:pPr>
              <w:rPr>
                <w:rFonts w:eastAsia="Times New Roman"/>
                <w:color w:val="000000"/>
                <w:sz w:val="20"/>
                <w:szCs w:val="20"/>
              </w:rPr>
            </w:pPr>
            <w:r w:rsidRPr="006C0A8E">
              <w:rPr>
                <w:rFonts w:eastAsia="Times New Roman"/>
                <w:color w:val="000000"/>
                <w:sz w:val="20"/>
                <w:szCs w:val="20"/>
              </w:rPr>
              <w:t> </w:t>
            </w:r>
          </w:p>
        </w:tc>
      </w:tr>
    </w:tbl>
    <w:p w14:paraId="5B257011" w14:textId="04417072" w:rsidR="00232CB3" w:rsidRPr="00B54B84" w:rsidRDefault="003E7920" w:rsidP="006527A0">
      <w:pPr>
        <w:spacing w:line="480" w:lineRule="auto"/>
        <w:jc w:val="center"/>
      </w:pPr>
      <w:r>
        <w:br w:type="column"/>
      </w:r>
      <w:r w:rsidR="00B87CC5">
        <w:lastRenderedPageBreak/>
        <w:t>References</w:t>
      </w:r>
    </w:p>
    <w:p w14:paraId="46491F28" w14:textId="77777777" w:rsidR="00232CB3" w:rsidRDefault="00232CB3" w:rsidP="009B2C34">
      <w:pPr>
        <w:ind w:left="720" w:hanging="720"/>
      </w:pPr>
      <w:proofErr w:type="spellStart"/>
      <w:r w:rsidRPr="00B54B84">
        <w:t>Amenta</w:t>
      </w:r>
      <w:proofErr w:type="spellEnd"/>
      <w:r w:rsidRPr="00B54B84">
        <w:t xml:space="preserve">, Edwin. 2006. </w:t>
      </w:r>
      <w:r w:rsidRPr="00B54B84">
        <w:rPr>
          <w:i/>
        </w:rPr>
        <w:t>When Movements Matter: The Townsend Plan and the Rise of Social Security</w:t>
      </w:r>
      <w:r w:rsidRPr="00B54B84">
        <w:t xml:space="preserve">. </w:t>
      </w:r>
      <w:proofErr w:type="gramStart"/>
      <w:r w:rsidRPr="00B54B84">
        <w:t>Princeton University Press.</w:t>
      </w:r>
      <w:proofErr w:type="gramEnd"/>
    </w:p>
    <w:p w14:paraId="5C750586" w14:textId="77777777" w:rsidR="00F0739B" w:rsidRDefault="00F0739B" w:rsidP="009B2C34">
      <w:pPr>
        <w:ind w:left="720" w:hanging="720"/>
      </w:pPr>
    </w:p>
    <w:p w14:paraId="0480CE3F" w14:textId="15E26A9B" w:rsidR="00F0739B" w:rsidRDefault="00F0739B" w:rsidP="009B2C34">
      <w:pPr>
        <w:ind w:left="720" w:hanging="720"/>
      </w:pPr>
      <w:proofErr w:type="spellStart"/>
      <w:r>
        <w:t>Amenta</w:t>
      </w:r>
      <w:proofErr w:type="spellEnd"/>
      <w:r>
        <w:t xml:space="preserve">, Edwin, Drew </w:t>
      </w:r>
      <w:proofErr w:type="spellStart"/>
      <w:r>
        <w:t>Halfmann</w:t>
      </w:r>
      <w:proofErr w:type="spellEnd"/>
      <w:r>
        <w:t xml:space="preserve">, and Michael P. Young. 1994. The Strategies and Contexts of Social Protest: Political Mediation and the Impact of the Townsend Movement. </w:t>
      </w:r>
      <w:proofErr w:type="gramStart"/>
      <w:r>
        <w:rPr>
          <w:i/>
        </w:rPr>
        <w:t>Mobilization 56</w:t>
      </w:r>
      <w:r>
        <w:t>:1-25.</w:t>
      </w:r>
      <w:proofErr w:type="gramEnd"/>
    </w:p>
    <w:p w14:paraId="1AB22A9B" w14:textId="77777777" w:rsidR="000A364B" w:rsidRDefault="000A364B" w:rsidP="009B2C34">
      <w:pPr>
        <w:ind w:left="720" w:hanging="720"/>
      </w:pPr>
    </w:p>
    <w:p w14:paraId="40192AC4" w14:textId="56502405" w:rsidR="000A364B" w:rsidRPr="000A364B" w:rsidRDefault="000A364B" w:rsidP="009B2C34">
      <w:pPr>
        <w:ind w:left="720" w:hanging="720"/>
      </w:pPr>
      <w:proofErr w:type="spellStart"/>
      <w:r>
        <w:t>Amenta</w:t>
      </w:r>
      <w:proofErr w:type="spellEnd"/>
      <w:r>
        <w:t xml:space="preserve">, Edwin, Neal </w:t>
      </w:r>
      <w:proofErr w:type="spellStart"/>
      <w:r>
        <w:t>Caren</w:t>
      </w:r>
      <w:proofErr w:type="spellEnd"/>
      <w:r>
        <w:t xml:space="preserve">, and </w:t>
      </w:r>
      <w:proofErr w:type="spellStart"/>
      <w:r>
        <w:t>Sheera</w:t>
      </w:r>
      <w:proofErr w:type="spellEnd"/>
      <w:r>
        <w:t xml:space="preserve"> Joy </w:t>
      </w:r>
      <w:proofErr w:type="spellStart"/>
      <w:r>
        <w:t>Olasky</w:t>
      </w:r>
      <w:proofErr w:type="spellEnd"/>
      <w:r>
        <w:t xml:space="preserve">. 2005. Age for Leisure? Political Mediation and the Impact of the Pension Movement on U.S. Old-Age Policy. </w:t>
      </w:r>
      <w:r>
        <w:rPr>
          <w:i/>
        </w:rPr>
        <w:t>American Sociological Review 70</w:t>
      </w:r>
      <w:r>
        <w:t>:516-538.</w:t>
      </w:r>
    </w:p>
    <w:p w14:paraId="5A298E91" w14:textId="77777777" w:rsidR="00F0739B" w:rsidRDefault="00F0739B" w:rsidP="009B2C34">
      <w:pPr>
        <w:ind w:left="720" w:hanging="720"/>
      </w:pPr>
    </w:p>
    <w:p w14:paraId="074F475E" w14:textId="77777777" w:rsidR="00F0739B" w:rsidRDefault="00F0739B" w:rsidP="009B2C34">
      <w:pPr>
        <w:ind w:left="720" w:hanging="720"/>
      </w:pPr>
      <w:proofErr w:type="spellStart"/>
      <w:r w:rsidRPr="00B54B84">
        <w:t>Amenta</w:t>
      </w:r>
      <w:proofErr w:type="spellEnd"/>
      <w:r w:rsidRPr="00B54B84">
        <w:t xml:space="preserve">, Edwin, Neal </w:t>
      </w:r>
      <w:proofErr w:type="spellStart"/>
      <w:r w:rsidRPr="00B54B84">
        <w:t>Caren</w:t>
      </w:r>
      <w:proofErr w:type="spellEnd"/>
      <w:r w:rsidRPr="00B54B84">
        <w:t xml:space="preserve">, Elizabeth </w:t>
      </w:r>
      <w:proofErr w:type="spellStart"/>
      <w:r w:rsidRPr="00B54B84">
        <w:t>Chiarello</w:t>
      </w:r>
      <w:proofErr w:type="spellEnd"/>
      <w:r w:rsidRPr="00B54B84">
        <w:t xml:space="preserve">, and Yang Su. 2010. The Political Consequences of Social Movements. </w:t>
      </w:r>
      <w:r w:rsidRPr="00B54B84">
        <w:rPr>
          <w:i/>
        </w:rPr>
        <w:t>Annual Review of Sociology</w:t>
      </w:r>
      <w:r w:rsidRPr="00B54B84">
        <w:t xml:space="preserve"> </w:t>
      </w:r>
      <w:r w:rsidRPr="00B54B84">
        <w:rPr>
          <w:i/>
        </w:rPr>
        <w:t>36</w:t>
      </w:r>
      <w:r w:rsidRPr="00B54B84">
        <w:t xml:space="preserve">:14.1-14.21. </w:t>
      </w:r>
    </w:p>
    <w:p w14:paraId="4FE0A6C8" w14:textId="77777777" w:rsidR="00232CB3" w:rsidRDefault="00232CB3" w:rsidP="009B2C34">
      <w:pPr>
        <w:ind w:left="720" w:hanging="720"/>
      </w:pPr>
    </w:p>
    <w:p w14:paraId="786B3625" w14:textId="302D5E11" w:rsidR="00232CB3" w:rsidRDefault="00232CB3" w:rsidP="009B2C34">
      <w:pPr>
        <w:ind w:left="720" w:hanging="720"/>
      </w:pPr>
      <w:proofErr w:type="gramStart"/>
      <w:r w:rsidRPr="00B54B84">
        <w:t>Andrews, Kenneth T. 2004.</w:t>
      </w:r>
      <w:proofErr w:type="gramEnd"/>
      <w:r w:rsidRPr="00B54B84">
        <w:t xml:space="preserve"> </w:t>
      </w:r>
      <w:r w:rsidRPr="00B54B84">
        <w:rPr>
          <w:i/>
        </w:rPr>
        <w:t>Freedom is a Constant Struggle: The Mississippi Civil Rights Movement and Its Legacy</w:t>
      </w:r>
      <w:r w:rsidRPr="00B54B84">
        <w:t xml:space="preserve">. </w:t>
      </w:r>
      <w:proofErr w:type="gramStart"/>
      <w:r w:rsidRPr="00B54B84">
        <w:t>University of Chicago Press.</w:t>
      </w:r>
      <w:proofErr w:type="gramEnd"/>
      <w:r w:rsidRPr="00B54B84">
        <w:t xml:space="preserve"> </w:t>
      </w:r>
    </w:p>
    <w:p w14:paraId="7E3D1958" w14:textId="77777777" w:rsidR="00232CB3" w:rsidRDefault="00232CB3" w:rsidP="009B2C34">
      <w:pPr>
        <w:ind w:left="720" w:hanging="720"/>
      </w:pPr>
    </w:p>
    <w:p w14:paraId="04EA9330" w14:textId="65B5DC27" w:rsidR="00232CB3" w:rsidRDefault="00232CB3" w:rsidP="009B2C34">
      <w:pPr>
        <w:ind w:left="720" w:hanging="720"/>
      </w:pPr>
      <w:r w:rsidRPr="00B54B84">
        <w:t>Baumgartner, Frank R., and Ch</w:t>
      </w:r>
      <w:r w:rsidR="00001012">
        <w:t>ristine Mahoney. 2005. “Social Movements, the Rise of New Issues, and the Public A</w:t>
      </w:r>
      <w:r w:rsidRPr="00B54B84">
        <w:t xml:space="preserve">genda.” Pp. 65-86 in Meyer DS, </w:t>
      </w:r>
      <w:proofErr w:type="spellStart"/>
      <w:r w:rsidRPr="00B54B84">
        <w:t>Jenness</w:t>
      </w:r>
      <w:proofErr w:type="spellEnd"/>
      <w:r w:rsidRPr="00B54B84">
        <w:t xml:space="preserve"> V, Ingram H, </w:t>
      </w:r>
      <w:proofErr w:type="gramStart"/>
      <w:r w:rsidRPr="00B54B84">
        <w:t>eds</w:t>
      </w:r>
      <w:proofErr w:type="gramEnd"/>
      <w:r w:rsidRPr="00B54B84">
        <w:t xml:space="preserve">. </w:t>
      </w:r>
      <w:r w:rsidRPr="00B54B84">
        <w:rPr>
          <w:i/>
        </w:rPr>
        <w:t>Routing the Opposition: Social Movements, Public Policy, and Democracy</w:t>
      </w:r>
      <w:r w:rsidRPr="00B54B84">
        <w:t xml:space="preserve">. </w:t>
      </w:r>
      <w:proofErr w:type="gramStart"/>
      <w:r w:rsidRPr="00B54B84">
        <w:t>University of Minnesota Press.</w:t>
      </w:r>
      <w:proofErr w:type="gramEnd"/>
    </w:p>
    <w:p w14:paraId="7CDFD1D3" w14:textId="77777777" w:rsidR="002C6C3A" w:rsidRDefault="002C6C3A" w:rsidP="009B2C34">
      <w:pPr>
        <w:ind w:left="720" w:hanging="720"/>
      </w:pPr>
    </w:p>
    <w:p w14:paraId="31817E4B" w14:textId="5BD37B83" w:rsidR="002C6C3A" w:rsidRPr="005374CA" w:rsidRDefault="005374CA" w:rsidP="009B2C34">
      <w:pPr>
        <w:ind w:left="720" w:hanging="720"/>
      </w:pPr>
      <w:r>
        <w:t xml:space="preserve">Cornwall, Marie, </w:t>
      </w:r>
      <w:proofErr w:type="spellStart"/>
      <w:r>
        <w:t>Brayden</w:t>
      </w:r>
      <w:proofErr w:type="spellEnd"/>
      <w:r>
        <w:t xml:space="preserve"> G. King, Elizabeth M. </w:t>
      </w:r>
      <w:proofErr w:type="spellStart"/>
      <w:r>
        <w:t>Legerski</w:t>
      </w:r>
      <w:proofErr w:type="spellEnd"/>
      <w:r>
        <w:t xml:space="preserve">, Eric C. </w:t>
      </w:r>
      <w:proofErr w:type="spellStart"/>
      <w:r>
        <w:t>Dahlin</w:t>
      </w:r>
      <w:proofErr w:type="spellEnd"/>
      <w:r>
        <w:t xml:space="preserve">, and Kendra S. </w:t>
      </w:r>
      <w:proofErr w:type="spellStart"/>
      <w:r>
        <w:t>Schiffman</w:t>
      </w:r>
      <w:proofErr w:type="spellEnd"/>
      <w:r>
        <w:t xml:space="preserve">. </w:t>
      </w:r>
      <w:r w:rsidR="002C6C3A">
        <w:t>2007</w:t>
      </w:r>
      <w:r>
        <w:t xml:space="preserve">. Signals or Mixed </w:t>
      </w:r>
      <w:proofErr w:type="spellStart"/>
      <w:r>
        <w:t>Signales</w:t>
      </w:r>
      <w:proofErr w:type="spellEnd"/>
      <w:r>
        <w:t xml:space="preserve">: Why Opportunities for Mobilization are not Opportunities for Policy Reform. </w:t>
      </w:r>
      <w:proofErr w:type="gramStart"/>
      <w:r>
        <w:rPr>
          <w:i/>
        </w:rPr>
        <w:t>Mobilization 12</w:t>
      </w:r>
      <w:r>
        <w:t>:239-254.</w:t>
      </w:r>
      <w:proofErr w:type="gramEnd"/>
    </w:p>
    <w:p w14:paraId="361D51AF" w14:textId="77777777" w:rsidR="00232CB3" w:rsidRPr="00B54B84" w:rsidRDefault="00232CB3" w:rsidP="009B2C34">
      <w:pPr>
        <w:ind w:left="720" w:hanging="720"/>
      </w:pPr>
    </w:p>
    <w:p w14:paraId="1DD377B9" w14:textId="77777777" w:rsidR="00232CB3" w:rsidRPr="00B54B84" w:rsidRDefault="00232CB3" w:rsidP="009B2C34">
      <w:pPr>
        <w:ind w:left="720" w:hanging="720"/>
      </w:pPr>
      <w:proofErr w:type="spellStart"/>
      <w:r w:rsidRPr="00B54B84">
        <w:t>Gamson</w:t>
      </w:r>
      <w:proofErr w:type="spellEnd"/>
      <w:r w:rsidRPr="00B54B84">
        <w:t xml:space="preserve">, William. 1990. </w:t>
      </w:r>
      <w:r w:rsidRPr="00B54B84">
        <w:rPr>
          <w:i/>
        </w:rPr>
        <w:t>The Strategy of Social Protest</w:t>
      </w:r>
      <w:r w:rsidRPr="00B54B84">
        <w:t>. Wadsworth.</w:t>
      </w:r>
    </w:p>
    <w:p w14:paraId="773DCA7A" w14:textId="77777777" w:rsidR="00B87CC5" w:rsidRDefault="00B87CC5" w:rsidP="009B2C34">
      <w:pPr>
        <w:ind w:left="720" w:hanging="720"/>
      </w:pPr>
    </w:p>
    <w:p w14:paraId="188D953F" w14:textId="4FCB2AC1" w:rsidR="00B87CC5" w:rsidRPr="005374CA" w:rsidRDefault="00B87CC5" w:rsidP="009B2C34">
      <w:pPr>
        <w:ind w:left="720" w:hanging="720"/>
      </w:pPr>
      <w:proofErr w:type="spellStart"/>
      <w:r>
        <w:t>Giugni</w:t>
      </w:r>
      <w:proofErr w:type="spellEnd"/>
      <w:r w:rsidR="005374CA">
        <w:t>, Marco</w:t>
      </w:r>
      <w:r>
        <w:t>. 1998</w:t>
      </w:r>
      <w:r w:rsidR="005374CA">
        <w:t xml:space="preserve">. Was it Worth the Effort? The Outcomes and Consequences of Social Movements. </w:t>
      </w:r>
      <w:r w:rsidR="005374CA">
        <w:rPr>
          <w:i/>
        </w:rPr>
        <w:t>Annual Review of Sociology 24</w:t>
      </w:r>
      <w:r w:rsidR="005374CA">
        <w:t>:371-393.</w:t>
      </w:r>
    </w:p>
    <w:p w14:paraId="0AA34D29" w14:textId="77777777" w:rsidR="00C904F2" w:rsidRDefault="00C904F2" w:rsidP="009B2C34">
      <w:pPr>
        <w:ind w:left="720" w:hanging="720"/>
      </w:pPr>
    </w:p>
    <w:p w14:paraId="187626BF" w14:textId="77777777" w:rsidR="00232CB3" w:rsidRPr="00B54B84" w:rsidRDefault="00232CB3" w:rsidP="009B2C34">
      <w:pPr>
        <w:ind w:left="720" w:hanging="720"/>
      </w:pPr>
      <w:proofErr w:type="spellStart"/>
      <w:r w:rsidRPr="00B54B84">
        <w:t>McCammon</w:t>
      </w:r>
      <w:proofErr w:type="spellEnd"/>
      <w:r w:rsidRPr="00B54B84">
        <w:t xml:space="preserve">, Holly J., Soma </w:t>
      </w:r>
      <w:proofErr w:type="spellStart"/>
      <w:r w:rsidRPr="00B54B84">
        <w:t>Chaudhuri</w:t>
      </w:r>
      <w:proofErr w:type="spellEnd"/>
      <w:r w:rsidRPr="00B54B84">
        <w:t xml:space="preserve">, </w:t>
      </w:r>
      <w:proofErr w:type="spellStart"/>
      <w:r w:rsidRPr="00B54B84">
        <w:t>Lyndi</w:t>
      </w:r>
      <w:proofErr w:type="spellEnd"/>
      <w:r w:rsidRPr="00B54B84">
        <w:t xml:space="preserve"> Hewitt, Courtney Sanders Muse, Harmony D. Newman, Carrie Lee Smith, and Teresa M. Terrell. 2008. Becoming Full Citizens: The U.S. Women’s Jury Rights Campaigns, the Pace of Reform, and Strategic Adaptation. </w:t>
      </w:r>
      <w:r w:rsidRPr="00B54B84">
        <w:rPr>
          <w:i/>
        </w:rPr>
        <w:t>American Journal of Sociology 113</w:t>
      </w:r>
      <w:r w:rsidRPr="00B54B84">
        <w:t>:1104-1147</w:t>
      </w:r>
    </w:p>
    <w:p w14:paraId="2B167AEA" w14:textId="77777777" w:rsidR="00232CB3" w:rsidRDefault="00232CB3" w:rsidP="009B2C34">
      <w:pPr>
        <w:ind w:left="720" w:hanging="720"/>
      </w:pPr>
    </w:p>
    <w:p w14:paraId="35D3C502" w14:textId="12CF48BE" w:rsidR="00C904F2" w:rsidRDefault="00C904F2" w:rsidP="009B2C34">
      <w:pPr>
        <w:ind w:left="720" w:hanging="720"/>
      </w:pPr>
      <w:proofErr w:type="spellStart"/>
      <w:r>
        <w:t>McAdam</w:t>
      </w:r>
      <w:proofErr w:type="spellEnd"/>
      <w:r w:rsidR="003326AB">
        <w:t xml:space="preserve">, Douglas. 1982. </w:t>
      </w:r>
      <w:r w:rsidR="003326AB" w:rsidRPr="003326AB">
        <w:rPr>
          <w:i/>
        </w:rPr>
        <w:t xml:space="preserve">Political </w:t>
      </w:r>
      <w:proofErr w:type="gramStart"/>
      <w:r w:rsidR="003326AB" w:rsidRPr="003326AB">
        <w:rPr>
          <w:i/>
        </w:rPr>
        <w:t>Process</w:t>
      </w:r>
      <w:proofErr w:type="gramEnd"/>
      <w:r w:rsidR="003326AB" w:rsidRPr="003326AB">
        <w:rPr>
          <w:i/>
        </w:rPr>
        <w:t xml:space="preserve"> and the Development of Black Insurgency, 1930-1970</w:t>
      </w:r>
      <w:r w:rsidR="003326AB">
        <w:t>. Chicago: University of Chicago Press.</w:t>
      </w:r>
    </w:p>
    <w:p w14:paraId="1839B086" w14:textId="77777777" w:rsidR="00C904F2" w:rsidRDefault="00C904F2" w:rsidP="009B2C34">
      <w:pPr>
        <w:ind w:left="720" w:hanging="720"/>
      </w:pPr>
    </w:p>
    <w:p w14:paraId="7835D380" w14:textId="49C4B461" w:rsidR="00C904F2" w:rsidRDefault="004311E8" w:rsidP="009B2C34">
      <w:pPr>
        <w:ind w:left="720" w:hanging="720"/>
      </w:pPr>
      <w:proofErr w:type="spellStart"/>
      <w:r>
        <w:t>McAdam</w:t>
      </w:r>
      <w:proofErr w:type="spellEnd"/>
      <w:r>
        <w:t xml:space="preserve"> 1988</w:t>
      </w:r>
      <w:r w:rsidR="00C904F2">
        <w:t xml:space="preserve">. </w:t>
      </w:r>
      <w:r w:rsidR="00C904F2" w:rsidRPr="004311E8">
        <w:rPr>
          <w:i/>
        </w:rPr>
        <w:t xml:space="preserve">Freedom </w:t>
      </w:r>
      <w:proofErr w:type="gramStart"/>
      <w:r w:rsidR="00C904F2" w:rsidRPr="004311E8">
        <w:rPr>
          <w:i/>
        </w:rPr>
        <w:t>Summer</w:t>
      </w:r>
      <w:proofErr w:type="gramEnd"/>
      <w:r>
        <w:t>. New York: Oxford University Press.</w:t>
      </w:r>
    </w:p>
    <w:p w14:paraId="79EC6172" w14:textId="77777777" w:rsidR="00AB4F3B" w:rsidRDefault="00AB4F3B" w:rsidP="009B2C34">
      <w:pPr>
        <w:ind w:left="720" w:hanging="720"/>
      </w:pPr>
    </w:p>
    <w:p w14:paraId="7C6339D0" w14:textId="6F56AEBE" w:rsidR="00AB4F3B" w:rsidRPr="009B2C34" w:rsidRDefault="009B2C34" w:rsidP="009B2C34">
      <w:pPr>
        <w:ind w:left="720" w:hanging="720"/>
      </w:pPr>
      <w:proofErr w:type="spellStart"/>
      <w:r>
        <w:t>McAdam</w:t>
      </w:r>
      <w:proofErr w:type="spellEnd"/>
      <w:r>
        <w:t xml:space="preserve">, Doug, </w:t>
      </w:r>
      <w:r w:rsidR="00AB4F3B">
        <w:t xml:space="preserve">and </w:t>
      </w:r>
      <w:r>
        <w:t xml:space="preserve">Sidney </w:t>
      </w:r>
      <w:proofErr w:type="spellStart"/>
      <w:r w:rsidR="00AB4F3B">
        <w:t>Tarrow</w:t>
      </w:r>
      <w:proofErr w:type="spellEnd"/>
      <w:r>
        <w:t>. 2010</w:t>
      </w:r>
      <w:r w:rsidR="00AB4F3B">
        <w:t>.</w:t>
      </w:r>
      <w:r>
        <w:t xml:space="preserve"> Ballots and Barricades: On the Reciprocal Relationship between Elections and Social Movements. </w:t>
      </w:r>
      <w:r>
        <w:rPr>
          <w:i/>
        </w:rPr>
        <w:t>Perspectives on Politics 8</w:t>
      </w:r>
      <w:r>
        <w:t>:529-542.</w:t>
      </w:r>
    </w:p>
    <w:p w14:paraId="700D13DF" w14:textId="77777777" w:rsidR="00655A06" w:rsidRDefault="00655A06" w:rsidP="00F226DF"/>
    <w:p w14:paraId="40C03C7C" w14:textId="60E8C15F" w:rsidR="00655A06" w:rsidRPr="00655A06" w:rsidRDefault="00655A06" w:rsidP="009B2C34">
      <w:pPr>
        <w:ind w:left="720" w:hanging="720"/>
      </w:pPr>
      <w:proofErr w:type="gramStart"/>
      <w:r>
        <w:t xml:space="preserve">McCarthy, John D. and Mayer N. </w:t>
      </w:r>
      <w:proofErr w:type="spellStart"/>
      <w:r>
        <w:t>Zald</w:t>
      </w:r>
      <w:proofErr w:type="spellEnd"/>
      <w:r>
        <w:t>.</w:t>
      </w:r>
      <w:proofErr w:type="gramEnd"/>
      <w:r>
        <w:t xml:space="preserve"> 1977. Resource Mobilization and Social Movements: A Partial Theory. </w:t>
      </w:r>
      <w:r>
        <w:rPr>
          <w:i/>
        </w:rPr>
        <w:t>American Journal of Sociology 82</w:t>
      </w:r>
      <w:r>
        <w:t>:</w:t>
      </w:r>
      <w:r w:rsidR="00F226DF">
        <w:t>1212-41.</w:t>
      </w:r>
    </w:p>
    <w:p w14:paraId="29DD3F3C" w14:textId="77777777" w:rsidR="00655A06" w:rsidRDefault="00655A06" w:rsidP="009B2C34">
      <w:pPr>
        <w:ind w:left="720" w:hanging="720"/>
      </w:pPr>
    </w:p>
    <w:p w14:paraId="04D03F56" w14:textId="47CBD313" w:rsidR="00F226DF" w:rsidRDefault="009B2C34" w:rsidP="00F226DF">
      <w:pPr>
        <w:ind w:left="720" w:hanging="720"/>
      </w:pPr>
      <w:proofErr w:type="gramStart"/>
      <w:r>
        <w:t xml:space="preserve">McCarthy, John D. and Mayer N. </w:t>
      </w:r>
      <w:proofErr w:type="spellStart"/>
      <w:r>
        <w:t>Zald</w:t>
      </w:r>
      <w:proofErr w:type="spellEnd"/>
      <w:r w:rsidR="007B68CA">
        <w:t>.</w:t>
      </w:r>
      <w:proofErr w:type="gramEnd"/>
      <w:r>
        <w:t xml:space="preserve"> 2002. “The Enduring Vitality of the Resource Mobilization Theory of Social Movements.” </w:t>
      </w:r>
      <w:proofErr w:type="gramStart"/>
      <w:r>
        <w:t>Pp</w:t>
      </w:r>
      <w:r w:rsidR="00F226DF">
        <w:t xml:space="preserve">. 533-65 in Turner JH, ed. </w:t>
      </w:r>
      <w:r w:rsidR="00F226DF">
        <w:rPr>
          <w:i/>
        </w:rPr>
        <w:t>Handbook of Sociological Theory</w:t>
      </w:r>
      <w:r w:rsidR="00F226DF">
        <w:t>.</w:t>
      </w:r>
      <w:proofErr w:type="gramEnd"/>
      <w:r w:rsidR="00F226DF">
        <w:t xml:space="preserve"> New York: Kluwer Academic/Plenum Publishers.</w:t>
      </w:r>
    </w:p>
    <w:p w14:paraId="2FFC12E7" w14:textId="77777777" w:rsidR="00C33167" w:rsidRDefault="00C33167" w:rsidP="009B2C34">
      <w:pPr>
        <w:ind w:left="720" w:hanging="720"/>
      </w:pPr>
    </w:p>
    <w:p w14:paraId="2B08C4C1" w14:textId="406214CE" w:rsidR="003F4FCD" w:rsidRPr="003F4FCD" w:rsidRDefault="00001012" w:rsidP="009B2C34">
      <w:pPr>
        <w:ind w:left="720" w:hanging="720"/>
        <w:rPr>
          <w:rFonts w:eastAsia="Times New Roman"/>
        </w:rPr>
      </w:pPr>
      <w:r>
        <w:rPr>
          <w:rFonts w:eastAsia="Times New Roman"/>
          <w:color w:val="000000"/>
          <w:shd w:val="clear" w:color="auto" w:fill="FFFFFF"/>
        </w:rPr>
        <w:t xml:space="preserve">McDonald, </w:t>
      </w:r>
      <w:r w:rsidRPr="003F4FCD">
        <w:rPr>
          <w:rFonts w:eastAsia="Times New Roman"/>
          <w:color w:val="000000"/>
          <w:shd w:val="clear" w:color="auto" w:fill="FFFFFF"/>
        </w:rPr>
        <w:t>Mich</w:t>
      </w:r>
      <w:r>
        <w:rPr>
          <w:rFonts w:eastAsia="Times New Roman"/>
          <w:color w:val="000000"/>
          <w:shd w:val="clear" w:color="auto" w:fill="FFFFFF"/>
        </w:rPr>
        <w:t xml:space="preserve">ael P. 2011. </w:t>
      </w:r>
      <w:r w:rsidR="003F4FCD" w:rsidRPr="003F4FCD">
        <w:rPr>
          <w:rFonts w:eastAsia="Times New Roman"/>
          <w:color w:val="000000"/>
          <w:shd w:val="clear" w:color="auto" w:fill="FFFFFF"/>
        </w:rPr>
        <w:t>Voter Turnou</w:t>
      </w:r>
      <w:r>
        <w:rPr>
          <w:rFonts w:eastAsia="Times New Roman"/>
          <w:color w:val="000000"/>
          <w:shd w:val="clear" w:color="auto" w:fill="FFFFFF"/>
        </w:rPr>
        <w:t xml:space="preserve">t in the 2010 Midterm Election. </w:t>
      </w:r>
      <w:r w:rsidR="003F4FCD" w:rsidRPr="003F4FCD">
        <w:rPr>
          <w:rFonts w:eastAsia="Times New Roman"/>
          <w:i/>
          <w:iCs/>
          <w:color w:val="000000"/>
          <w:shd w:val="clear" w:color="auto" w:fill="FFFFFF"/>
        </w:rPr>
        <w:t>The Forum</w:t>
      </w:r>
      <w:r w:rsidR="00AB76C1">
        <w:rPr>
          <w:rFonts w:eastAsia="Times New Roman"/>
          <w:color w:val="000000"/>
          <w:shd w:val="clear" w:color="auto" w:fill="FFFFFF"/>
        </w:rPr>
        <w:t> </w:t>
      </w:r>
      <w:r w:rsidR="00AB76C1" w:rsidRPr="00AB76C1">
        <w:rPr>
          <w:rFonts w:eastAsia="Times New Roman"/>
          <w:i/>
          <w:color w:val="000000"/>
          <w:shd w:val="clear" w:color="auto" w:fill="FFFFFF"/>
        </w:rPr>
        <w:t>8(4)</w:t>
      </w:r>
      <w:proofErr w:type="gramStart"/>
      <w:r w:rsidR="00AB76C1">
        <w:rPr>
          <w:rFonts w:eastAsia="Times New Roman"/>
          <w:color w:val="000000"/>
          <w:shd w:val="clear" w:color="auto" w:fill="FFFFFF"/>
        </w:rPr>
        <w:t>:1</w:t>
      </w:r>
      <w:proofErr w:type="gramEnd"/>
      <w:r w:rsidR="00AB76C1">
        <w:rPr>
          <w:rFonts w:eastAsia="Times New Roman"/>
          <w:color w:val="000000"/>
          <w:shd w:val="clear" w:color="auto" w:fill="FFFFFF"/>
        </w:rPr>
        <w:t>-8</w:t>
      </w:r>
      <w:r w:rsidR="003F4FCD" w:rsidRPr="003F4FCD">
        <w:rPr>
          <w:rFonts w:eastAsia="Times New Roman"/>
          <w:color w:val="000000"/>
          <w:shd w:val="clear" w:color="auto" w:fill="FFFFFF"/>
        </w:rPr>
        <w:t>.</w:t>
      </w:r>
    </w:p>
    <w:p w14:paraId="3423493E" w14:textId="77777777" w:rsidR="003F4FCD" w:rsidRDefault="003F4FCD" w:rsidP="009B2C34">
      <w:pPr>
        <w:ind w:left="720" w:hanging="720"/>
      </w:pPr>
    </w:p>
    <w:p w14:paraId="4232ED1D" w14:textId="327DD3E4" w:rsidR="00AB76C1" w:rsidRDefault="00001012" w:rsidP="009B2C34">
      <w:pPr>
        <w:ind w:left="720" w:hanging="720"/>
      </w:pPr>
      <w:r>
        <w:rPr>
          <w:rFonts w:eastAsia="Times New Roman"/>
          <w:color w:val="000000"/>
          <w:shd w:val="clear" w:color="auto" w:fill="FFFFFF"/>
        </w:rPr>
        <w:t xml:space="preserve">McDonald, </w:t>
      </w:r>
      <w:r w:rsidRPr="003F4FCD">
        <w:rPr>
          <w:rFonts w:eastAsia="Times New Roman"/>
          <w:color w:val="000000"/>
          <w:shd w:val="clear" w:color="auto" w:fill="FFFFFF"/>
        </w:rPr>
        <w:t>Mich</w:t>
      </w:r>
      <w:r>
        <w:rPr>
          <w:rFonts w:eastAsia="Times New Roman"/>
          <w:color w:val="000000"/>
          <w:shd w:val="clear" w:color="auto" w:fill="FFFFFF"/>
        </w:rPr>
        <w:t xml:space="preserve">ael P. </w:t>
      </w:r>
      <w:r w:rsidR="003F4FCD">
        <w:t xml:space="preserve">2010. </w:t>
      </w:r>
      <w:proofErr w:type="gramStart"/>
      <w:r w:rsidR="003F4FCD">
        <w:t xml:space="preserve">“American Voter Turnout in Historical Perspective,” </w:t>
      </w:r>
      <w:r w:rsidR="00655A06">
        <w:t xml:space="preserve">Pp. 125-143 </w:t>
      </w:r>
      <w:r w:rsidR="003F4FCD">
        <w:t xml:space="preserve">in </w:t>
      </w:r>
      <w:proofErr w:type="spellStart"/>
      <w:r w:rsidR="00AB76C1">
        <w:t>Leighley</w:t>
      </w:r>
      <w:proofErr w:type="spellEnd"/>
      <w:r w:rsidR="00AB76C1">
        <w:t xml:space="preserve"> J, ed. </w:t>
      </w:r>
      <w:r w:rsidR="003F4FCD" w:rsidRPr="00AB76C1">
        <w:rPr>
          <w:i/>
        </w:rPr>
        <w:t>Oxford Handbook of American Elections and Political Behavior</w:t>
      </w:r>
      <w:r w:rsidR="00AB76C1">
        <w:t>.</w:t>
      </w:r>
      <w:proofErr w:type="gramEnd"/>
      <w:r w:rsidR="003F4FCD">
        <w:t xml:space="preserve"> Cambridge, UK: Oxford University Press.</w:t>
      </w:r>
    </w:p>
    <w:p w14:paraId="2B8AF34E" w14:textId="77777777" w:rsidR="003F4FCD" w:rsidRDefault="003F4FCD" w:rsidP="009B2C34">
      <w:pPr>
        <w:ind w:left="720" w:hanging="720"/>
      </w:pPr>
    </w:p>
    <w:p w14:paraId="6512878E" w14:textId="77777777" w:rsidR="00F51F22" w:rsidRDefault="00F51F22" w:rsidP="009B2C34">
      <w:pPr>
        <w:ind w:left="720" w:hanging="720"/>
      </w:pPr>
      <w:r w:rsidRPr="00B54B84">
        <w:t xml:space="preserve">McVeigh, Rory, Daniel J. Myers, and David </w:t>
      </w:r>
      <w:proofErr w:type="spellStart"/>
      <w:r w:rsidRPr="00B54B84">
        <w:t>Sikkink</w:t>
      </w:r>
      <w:proofErr w:type="spellEnd"/>
      <w:r w:rsidRPr="00B54B84">
        <w:t xml:space="preserve">. 2004. </w:t>
      </w:r>
      <w:proofErr w:type="gramStart"/>
      <w:r w:rsidRPr="00B54B84">
        <w:t>Corn</w:t>
      </w:r>
      <w:proofErr w:type="gramEnd"/>
      <w:r w:rsidRPr="00B54B84">
        <w:t xml:space="preserve">, Klansmen, and Coolidge: Structure and Framing in Social Movements. </w:t>
      </w:r>
      <w:r w:rsidRPr="00B54B84">
        <w:rPr>
          <w:i/>
        </w:rPr>
        <w:t>Social Forces</w:t>
      </w:r>
      <w:r w:rsidRPr="00B54B84">
        <w:t xml:space="preserve"> </w:t>
      </w:r>
      <w:r w:rsidRPr="00B54B84">
        <w:rPr>
          <w:i/>
        </w:rPr>
        <w:t>83</w:t>
      </w:r>
      <w:r w:rsidRPr="00B54B84">
        <w:t>:653-690.</w:t>
      </w:r>
    </w:p>
    <w:p w14:paraId="3EC417B4" w14:textId="77777777" w:rsidR="006D1411" w:rsidRDefault="006D1411" w:rsidP="009B2C34">
      <w:pPr>
        <w:ind w:left="720" w:hanging="720"/>
      </w:pPr>
    </w:p>
    <w:p w14:paraId="4FD73F63" w14:textId="2C94E50B" w:rsidR="004206E2" w:rsidRPr="004206E2" w:rsidRDefault="004206E2" w:rsidP="009B2C34">
      <w:pPr>
        <w:pStyle w:val="Heading1"/>
        <w:shd w:val="clear" w:color="auto" w:fill="FFFFFF"/>
        <w:spacing w:before="0" w:beforeAutospacing="0" w:after="0" w:afterAutospacing="0"/>
        <w:ind w:left="720" w:hanging="720"/>
        <w:rPr>
          <w:rFonts w:ascii="Times New Roman" w:eastAsia="Times New Roman" w:hAnsi="Times New Roman"/>
          <w:b w:val="0"/>
          <w:bCs w:val="0"/>
          <w:color w:val="000000"/>
          <w:sz w:val="24"/>
          <w:szCs w:val="24"/>
        </w:rPr>
      </w:pPr>
      <w:r w:rsidRPr="004206E2">
        <w:rPr>
          <w:rFonts w:ascii="Times New Roman" w:hAnsi="Times New Roman"/>
          <w:b w:val="0"/>
          <w:sz w:val="24"/>
          <w:szCs w:val="24"/>
        </w:rPr>
        <w:t xml:space="preserve">McVeigh, Rory. 2009. </w:t>
      </w:r>
      <w:r w:rsidRPr="004206E2">
        <w:rPr>
          <w:rFonts w:ascii="Times New Roman" w:eastAsia="Times New Roman" w:hAnsi="Times New Roman"/>
          <w:b w:val="0"/>
          <w:bCs w:val="0"/>
          <w:i/>
          <w:color w:val="000000"/>
          <w:sz w:val="24"/>
          <w:szCs w:val="24"/>
        </w:rPr>
        <w:t>The Rise of the Ku Klux Klan: Right-Wing Movements and National Politics</w:t>
      </w:r>
      <w:r w:rsidRPr="004206E2">
        <w:rPr>
          <w:rFonts w:ascii="Times New Roman" w:eastAsia="Times New Roman" w:hAnsi="Times New Roman"/>
          <w:b w:val="0"/>
          <w:bCs w:val="0"/>
          <w:color w:val="000000"/>
          <w:sz w:val="24"/>
          <w:szCs w:val="24"/>
        </w:rPr>
        <w:t xml:space="preserve">. </w:t>
      </w:r>
      <w:proofErr w:type="gramStart"/>
      <w:r w:rsidRPr="004206E2">
        <w:rPr>
          <w:rFonts w:ascii="Times New Roman" w:eastAsia="Times New Roman" w:hAnsi="Times New Roman"/>
          <w:b w:val="0"/>
          <w:bCs w:val="0"/>
          <w:color w:val="000000"/>
          <w:sz w:val="24"/>
          <w:szCs w:val="24"/>
        </w:rPr>
        <w:t>University of Minnesota Press.</w:t>
      </w:r>
      <w:proofErr w:type="gramEnd"/>
    </w:p>
    <w:p w14:paraId="01822928" w14:textId="77777777" w:rsidR="004206E2" w:rsidRDefault="004206E2" w:rsidP="009B2C34">
      <w:pPr>
        <w:ind w:left="720" w:hanging="720"/>
      </w:pPr>
    </w:p>
    <w:p w14:paraId="03CE3B59" w14:textId="2712E19F" w:rsidR="006D1411" w:rsidRPr="00655A06" w:rsidRDefault="00655A06" w:rsidP="009B2C34">
      <w:pPr>
        <w:ind w:left="720" w:hanging="720"/>
      </w:pPr>
      <w:r>
        <w:t xml:space="preserve">Meyer, David S. and Debra C. </w:t>
      </w:r>
      <w:proofErr w:type="spellStart"/>
      <w:r w:rsidR="006D1411">
        <w:t>Minkoff</w:t>
      </w:r>
      <w:proofErr w:type="spellEnd"/>
      <w:r w:rsidR="006D1411">
        <w:t>. 2004.</w:t>
      </w:r>
      <w:r>
        <w:t xml:space="preserve"> Conceptualizing Political Opportunity. </w:t>
      </w:r>
      <w:r>
        <w:rPr>
          <w:i/>
        </w:rPr>
        <w:t>Social Forces 82</w:t>
      </w:r>
      <w:r>
        <w:t>:1457-92.</w:t>
      </w:r>
    </w:p>
    <w:p w14:paraId="29892E35" w14:textId="77777777" w:rsidR="00F51F22" w:rsidRDefault="00F51F22" w:rsidP="009B2C34">
      <w:pPr>
        <w:ind w:left="720" w:hanging="720"/>
      </w:pPr>
    </w:p>
    <w:p w14:paraId="3E886ED4" w14:textId="1617721B" w:rsidR="00F62F95" w:rsidRDefault="00F62F95" w:rsidP="00F62F95">
      <w:pPr>
        <w:ind w:left="720" w:hanging="720"/>
      </w:pPr>
      <w:r>
        <w:t xml:space="preserve">Miller, William J. and Jeremy D. Walling. </w:t>
      </w:r>
      <w:proofErr w:type="gramStart"/>
      <w:r>
        <w:t xml:space="preserve">2012. </w:t>
      </w:r>
      <w:r w:rsidRPr="00BC4475">
        <w:rPr>
          <w:i/>
        </w:rPr>
        <w:t>Tea Party</w:t>
      </w:r>
      <w:proofErr w:type="gramEnd"/>
      <w:r w:rsidRPr="00BC4475">
        <w:rPr>
          <w:i/>
        </w:rPr>
        <w:t xml:space="preserve"> Effects on 2010 U.S. Senate Elections</w:t>
      </w:r>
      <w:r>
        <w:rPr>
          <w:i/>
        </w:rPr>
        <w:t>: Stuck in Middle to Lose</w:t>
      </w:r>
      <w:r>
        <w:t xml:space="preserve">. Lanham, MD: Lexington Books.  </w:t>
      </w:r>
    </w:p>
    <w:p w14:paraId="43FFD900" w14:textId="77777777" w:rsidR="00B87CC5" w:rsidRDefault="00B87CC5" w:rsidP="009B2C34">
      <w:pPr>
        <w:ind w:left="720" w:hanging="720"/>
      </w:pPr>
    </w:p>
    <w:p w14:paraId="4934A672" w14:textId="4E0A022D" w:rsidR="00122AAD" w:rsidRDefault="00F226DF" w:rsidP="009B2C34">
      <w:pPr>
        <w:ind w:left="720" w:hanging="720"/>
      </w:pPr>
      <w:r>
        <w:t xml:space="preserve">Morris, </w:t>
      </w:r>
      <w:proofErr w:type="spellStart"/>
      <w:r>
        <w:t>Aldon</w:t>
      </w:r>
      <w:proofErr w:type="spellEnd"/>
      <w:r>
        <w:t>. 1984</w:t>
      </w:r>
      <w:r w:rsidR="00C904F2">
        <w:t xml:space="preserve">. </w:t>
      </w:r>
      <w:r w:rsidRPr="00F226DF">
        <w:rPr>
          <w:i/>
        </w:rPr>
        <w:t xml:space="preserve">The </w:t>
      </w:r>
      <w:r w:rsidR="00C904F2" w:rsidRPr="00F226DF">
        <w:rPr>
          <w:i/>
        </w:rPr>
        <w:t>Origins of Civil Rights</w:t>
      </w:r>
      <w:r w:rsidRPr="00F226DF">
        <w:rPr>
          <w:i/>
        </w:rPr>
        <w:t xml:space="preserve"> Movement: Black Communities Organizing for Change</w:t>
      </w:r>
      <w:r>
        <w:t>. New York: Free Press.</w:t>
      </w:r>
    </w:p>
    <w:p w14:paraId="34E6C7E8" w14:textId="77777777" w:rsidR="005D5803" w:rsidRDefault="005D5803" w:rsidP="009B2C34">
      <w:pPr>
        <w:ind w:left="720" w:hanging="720"/>
      </w:pPr>
    </w:p>
    <w:p w14:paraId="679F1D01" w14:textId="77777777" w:rsidR="00232CB3" w:rsidRPr="00B54B84" w:rsidRDefault="00232CB3" w:rsidP="009B2C34">
      <w:pPr>
        <w:ind w:left="720" w:hanging="720"/>
      </w:pPr>
      <w:proofErr w:type="spellStart"/>
      <w:r w:rsidRPr="00B54B84">
        <w:t>Piven</w:t>
      </w:r>
      <w:proofErr w:type="spellEnd"/>
      <w:r w:rsidRPr="00B54B84">
        <w:t xml:space="preserve">, Frances Fox and Richard </w:t>
      </w:r>
      <w:proofErr w:type="spellStart"/>
      <w:r w:rsidRPr="00B54B84">
        <w:t>Cloward</w:t>
      </w:r>
      <w:proofErr w:type="spellEnd"/>
      <w:r w:rsidRPr="00B54B84">
        <w:t xml:space="preserve">. 1977. </w:t>
      </w:r>
      <w:r w:rsidRPr="00B54B84">
        <w:rPr>
          <w:i/>
        </w:rPr>
        <w:t>Poor People’s Movements: Why They Success, How They Fail</w:t>
      </w:r>
      <w:r w:rsidRPr="00B54B84">
        <w:t>. Random House.</w:t>
      </w:r>
    </w:p>
    <w:p w14:paraId="2A5562CA" w14:textId="77777777" w:rsidR="006D1411" w:rsidRPr="00B54B84" w:rsidRDefault="006D1411" w:rsidP="00655A06"/>
    <w:p w14:paraId="54A2DBDF" w14:textId="77777777" w:rsidR="00232CB3" w:rsidRPr="000F5FDE" w:rsidRDefault="00232CB3" w:rsidP="009B2C34">
      <w:pPr>
        <w:ind w:left="720" w:hanging="720"/>
      </w:pPr>
      <w:proofErr w:type="spellStart"/>
      <w:r w:rsidRPr="00B54B84">
        <w:t>Skocpol</w:t>
      </w:r>
      <w:proofErr w:type="spellEnd"/>
      <w:r w:rsidRPr="00B54B84">
        <w:t xml:space="preserve">, </w:t>
      </w:r>
      <w:proofErr w:type="spellStart"/>
      <w:r w:rsidRPr="00B54B84">
        <w:t>Theda</w:t>
      </w:r>
      <w:proofErr w:type="spellEnd"/>
      <w:r w:rsidRPr="00B54B84">
        <w:t xml:space="preserve"> and Vanessa Williamson. 2012. </w:t>
      </w:r>
      <w:r w:rsidRPr="00B54B84">
        <w:rPr>
          <w:i/>
        </w:rPr>
        <w:t>The Tea Party and the Remaking of Republican Conservatism</w:t>
      </w:r>
      <w:r w:rsidRPr="00B54B84">
        <w:t xml:space="preserve">. </w:t>
      </w:r>
      <w:proofErr w:type="gramStart"/>
      <w:r w:rsidRPr="00B54B84">
        <w:t>Oxford University Press.</w:t>
      </w:r>
      <w:proofErr w:type="gramEnd"/>
    </w:p>
    <w:p w14:paraId="340AA69B" w14:textId="77777777" w:rsidR="00273FD7" w:rsidRDefault="00273FD7" w:rsidP="009B2C34">
      <w:pPr>
        <w:ind w:left="720" w:hanging="720"/>
      </w:pPr>
    </w:p>
    <w:p w14:paraId="3F7524CB" w14:textId="0AD2BF94" w:rsidR="00F62F95" w:rsidRDefault="00F62F95" w:rsidP="00F62F95">
      <w:pPr>
        <w:ind w:left="720" w:hanging="720"/>
        <w:contextualSpacing/>
      </w:pPr>
      <w:r>
        <w:t xml:space="preserve">Snow, David A., E. Burke </w:t>
      </w:r>
      <w:proofErr w:type="spellStart"/>
      <w:r>
        <w:t>Rochford</w:t>
      </w:r>
      <w:proofErr w:type="spellEnd"/>
      <w:r>
        <w:t xml:space="preserve"> Jr., Steven Worden, and Robert </w:t>
      </w:r>
      <w:proofErr w:type="spellStart"/>
      <w:r>
        <w:t>Benford</w:t>
      </w:r>
      <w:proofErr w:type="spellEnd"/>
      <w:r>
        <w:t xml:space="preserve">. 1986. Frame Alignment Processes, </w:t>
      </w:r>
      <w:proofErr w:type="spellStart"/>
      <w:r>
        <w:t>Micromobilization</w:t>
      </w:r>
      <w:proofErr w:type="spellEnd"/>
      <w:r>
        <w:t xml:space="preserve">, and Movement Participation. </w:t>
      </w:r>
      <w:r w:rsidRPr="00FB06C7">
        <w:rPr>
          <w:i/>
        </w:rPr>
        <w:t>American Sociological Review</w:t>
      </w:r>
      <w:r>
        <w:t xml:space="preserve"> 51: 454-481.</w:t>
      </w:r>
    </w:p>
    <w:p w14:paraId="2A9E8717" w14:textId="77777777" w:rsidR="006E7A50" w:rsidRDefault="006E7A50" w:rsidP="009B2C34">
      <w:pPr>
        <w:ind w:left="720" w:hanging="720"/>
      </w:pPr>
    </w:p>
    <w:p w14:paraId="1EB153E6" w14:textId="1B92F6A7" w:rsidR="006E7A50" w:rsidRPr="00655A06" w:rsidRDefault="006E7A50" w:rsidP="009B2C34">
      <w:pPr>
        <w:ind w:left="720" w:hanging="720"/>
      </w:pPr>
      <w:r>
        <w:t>Snow,</w:t>
      </w:r>
      <w:r w:rsidR="00655A06">
        <w:t xml:space="preserve"> David A., Louis A.</w:t>
      </w:r>
      <w:r>
        <w:t xml:space="preserve"> </w:t>
      </w:r>
      <w:proofErr w:type="spellStart"/>
      <w:r>
        <w:t>Zurcher</w:t>
      </w:r>
      <w:proofErr w:type="spellEnd"/>
      <w:r w:rsidR="00655A06">
        <w:t>, Jr.,</w:t>
      </w:r>
      <w:r>
        <w:t xml:space="preserve"> and </w:t>
      </w:r>
      <w:r w:rsidR="00655A06">
        <w:t xml:space="preserve">Sheldon </w:t>
      </w:r>
      <w:proofErr w:type="spellStart"/>
      <w:r>
        <w:t>Ekland</w:t>
      </w:r>
      <w:proofErr w:type="spellEnd"/>
      <w:r>
        <w:t>-Olson</w:t>
      </w:r>
      <w:r w:rsidR="00655A06">
        <w:t>.</w:t>
      </w:r>
      <w:r>
        <w:t xml:space="preserve"> 1980. </w:t>
      </w:r>
      <w:r w:rsidR="00655A06">
        <w:t xml:space="preserve">Social Networks and Social Movements: A </w:t>
      </w:r>
      <w:r>
        <w:t>Microstructural</w:t>
      </w:r>
      <w:r w:rsidR="00655A06">
        <w:t xml:space="preserve"> Approach to Differential Recruitment. </w:t>
      </w:r>
      <w:r w:rsidR="00655A06">
        <w:rPr>
          <w:i/>
        </w:rPr>
        <w:t>American Sociological Review 45</w:t>
      </w:r>
      <w:r w:rsidR="00655A06">
        <w:t>:787-801.</w:t>
      </w:r>
    </w:p>
    <w:p w14:paraId="6856F7BD" w14:textId="77777777" w:rsidR="009E15CC" w:rsidRDefault="009E15CC" w:rsidP="009B2C34">
      <w:pPr>
        <w:ind w:left="720" w:hanging="720"/>
      </w:pPr>
    </w:p>
    <w:p w14:paraId="6B6B0A6A" w14:textId="51A6743F" w:rsidR="009E15CC" w:rsidRDefault="009E15CC" w:rsidP="009B2C34">
      <w:pPr>
        <w:ind w:left="720" w:hanging="720"/>
      </w:pPr>
      <w:proofErr w:type="gramStart"/>
      <w:r>
        <w:t>Tea Party Express.</w:t>
      </w:r>
      <w:proofErr w:type="gramEnd"/>
      <w:r>
        <w:t xml:space="preserve"> 2011. “</w:t>
      </w:r>
      <w:r w:rsidR="00A537FE">
        <w:t>Previous Endorsements.” Retrieved September 15, 2012 (</w:t>
      </w:r>
      <w:r w:rsidR="00A537FE" w:rsidRPr="00A537FE">
        <w:t>http://www.teapartyexpress.org/previous-endorsements</w:t>
      </w:r>
      <w:r w:rsidR="00A537FE">
        <w:t>).</w:t>
      </w:r>
    </w:p>
    <w:p w14:paraId="69CA14B3" w14:textId="77777777" w:rsidR="00273FD7" w:rsidRDefault="00273FD7" w:rsidP="009B2C34">
      <w:pPr>
        <w:ind w:left="720" w:hanging="720"/>
      </w:pPr>
    </w:p>
    <w:p w14:paraId="1431A366" w14:textId="389D6EC6" w:rsidR="00F62F95" w:rsidRDefault="00F62F95" w:rsidP="00F62F95">
      <w:pPr>
        <w:ind w:left="720" w:hanging="720"/>
        <w:contextualSpacing/>
      </w:pPr>
      <w:r>
        <w:lastRenderedPageBreak/>
        <w:t xml:space="preserve">Williamson, Vanessa, </w:t>
      </w:r>
      <w:proofErr w:type="spellStart"/>
      <w:r>
        <w:t>Theda</w:t>
      </w:r>
      <w:proofErr w:type="spellEnd"/>
      <w:r>
        <w:t xml:space="preserve"> </w:t>
      </w:r>
      <w:proofErr w:type="spellStart"/>
      <w:r>
        <w:t>Skocpol</w:t>
      </w:r>
      <w:proofErr w:type="spellEnd"/>
      <w:r>
        <w:t xml:space="preserve">, and John </w:t>
      </w:r>
      <w:proofErr w:type="spellStart"/>
      <w:r>
        <w:t>Coggin</w:t>
      </w:r>
      <w:proofErr w:type="spellEnd"/>
      <w:r>
        <w:t xml:space="preserve">. 2011. The Tea Party and the Remaking of Republican Conservatism. </w:t>
      </w:r>
      <w:proofErr w:type="gramStart"/>
      <w:r w:rsidRPr="00551EC6">
        <w:rPr>
          <w:i/>
        </w:rPr>
        <w:t>Perspectives on Politics</w:t>
      </w:r>
      <w:r>
        <w:t xml:space="preserve"> </w:t>
      </w:r>
      <w:r w:rsidRPr="00F62F95">
        <w:rPr>
          <w:i/>
        </w:rPr>
        <w:t>9</w:t>
      </w:r>
      <w:r>
        <w:t>:25-43.</w:t>
      </w:r>
      <w:proofErr w:type="gramEnd"/>
    </w:p>
    <w:p w14:paraId="4F563627" w14:textId="77777777" w:rsidR="00F62F95" w:rsidRDefault="00F62F95" w:rsidP="00F62F95">
      <w:pPr>
        <w:ind w:left="720" w:hanging="720"/>
      </w:pPr>
    </w:p>
    <w:p w14:paraId="3968558D" w14:textId="77777777" w:rsidR="00F62F95" w:rsidRDefault="00F62F95" w:rsidP="00F62F95">
      <w:pPr>
        <w:ind w:left="720" w:hanging="720"/>
      </w:pPr>
      <w:r>
        <w:t xml:space="preserve">Zernike, Kate.  2010.  </w:t>
      </w:r>
      <w:r w:rsidRPr="00EA12D6">
        <w:rPr>
          <w:i/>
        </w:rPr>
        <w:t>Boiling Mad: Inside Tea Party America</w:t>
      </w:r>
      <w:r>
        <w:t>.  New York: Times Books.</w:t>
      </w:r>
    </w:p>
    <w:p w14:paraId="13EC7087" w14:textId="299A0153" w:rsidR="00B87CC5" w:rsidRDefault="00B87CC5" w:rsidP="00F62F95">
      <w:pPr>
        <w:ind w:left="720" w:hanging="720"/>
      </w:pPr>
    </w:p>
    <w:sectPr w:rsidR="00B87CC5" w:rsidSect="00FA4C3F">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62555" w14:textId="77777777" w:rsidR="00F62F95" w:rsidRDefault="00F62F95" w:rsidP="004B25D2">
      <w:r>
        <w:separator/>
      </w:r>
    </w:p>
  </w:endnote>
  <w:endnote w:type="continuationSeparator" w:id="0">
    <w:p w14:paraId="0B8F4BC5" w14:textId="77777777" w:rsidR="00F62F95" w:rsidRDefault="00F62F95" w:rsidP="004B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5B9F1" w14:textId="77777777" w:rsidR="00F62F95" w:rsidRDefault="00F62F95" w:rsidP="004B25D2">
      <w:r>
        <w:separator/>
      </w:r>
    </w:p>
  </w:footnote>
  <w:footnote w:type="continuationSeparator" w:id="0">
    <w:p w14:paraId="14CC9849" w14:textId="77777777" w:rsidR="00F62F95" w:rsidRDefault="00F62F95" w:rsidP="004B25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C3BDD" w14:textId="77777777" w:rsidR="00FA4C3F" w:rsidRDefault="00FA4C3F" w:rsidP="00FD7C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01F22" w14:textId="77777777" w:rsidR="00FA4C3F" w:rsidRDefault="00FA4C3F" w:rsidP="00FA4C3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90F8EB8" w14:textId="77777777" w:rsidR="00FA4C3F" w:rsidRDefault="00FA4C3F" w:rsidP="00FA4C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74647" w14:textId="77777777" w:rsidR="00FA4C3F" w:rsidRDefault="00FA4C3F" w:rsidP="00FA4C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3AE">
      <w:rPr>
        <w:rStyle w:val="PageNumber"/>
        <w:noProof/>
      </w:rPr>
      <w:t>3</w:t>
    </w:r>
    <w:r>
      <w:rPr>
        <w:rStyle w:val="PageNumber"/>
      </w:rPr>
      <w:fldChar w:fldCharType="end"/>
    </w:r>
  </w:p>
  <w:p w14:paraId="19D1099F" w14:textId="16F994B4" w:rsidR="00F62F95" w:rsidRDefault="00F62F95" w:rsidP="00FA4C3F">
    <w:pPr>
      <w:pStyle w:val="Header"/>
      <w:ind w:right="360"/>
      <w:jc w:val="right"/>
    </w:pPr>
    <w:r>
      <w:t xml:space="preserve">Burrel Vann </w:t>
    </w:r>
    <w:proofErr w:type="spellStart"/>
    <w:r>
      <w:t>Jr</w:t>
    </w:r>
    <w:proofErr w:type="spellEnd"/>
    <w:r w:rsidR="00FA4C3F">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3F"/>
    <w:rsid w:val="00001012"/>
    <w:rsid w:val="00037D3A"/>
    <w:rsid w:val="0007776C"/>
    <w:rsid w:val="000A141F"/>
    <w:rsid w:val="000A27DF"/>
    <w:rsid w:val="000A364B"/>
    <w:rsid w:val="000C120F"/>
    <w:rsid w:val="000E39F6"/>
    <w:rsid w:val="000F202F"/>
    <w:rsid w:val="00115DA3"/>
    <w:rsid w:val="001220FB"/>
    <w:rsid w:val="00122AAD"/>
    <w:rsid w:val="00136F34"/>
    <w:rsid w:val="00171C23"/>
    <w:rsid w:val="00173A91"/>
    <w:rsid w:val="0017468B"/>
    <w:rsid w:val="001A7825"/>
    <w:rsid w:val="001D27D9"/>
    <w:rsid w:val="001E41D6"/>
    <w:rsid w:val="001E73BD"/>
    <w:rsid w:val="001F754E"/>
    <w:rsid w:val="0021404E"/>
    <w:rsid w:val="00232CB3"/>
    <w:rsid w:val="00257E0B"/>
    <w:rsid w:val="00273FD7"/>
    <w:rsid w:val="00275F74"/>
    <w:rsid w:val="00284793"/>
    <w:rsid w:val="002C2CF3"/>
    <w:rsid w:val="002C387C"/>
    <w:rsid w:val="002C6C3A"/>
    <w:rsid w:val="003034E3"/>
    <w:rsid w:val="00304991"/>
    <w:rsid w:val="00327F88"/>
    <w:rsid w:val="003326AB"/>
    <w:rsid w:val="00334E06"/>
    <w:rsid w:val="00387349"/>
    <w:rsid w:val="003A31A8"/>
    <w:rsid w:val="003B068A"/>
    <w:rsid w:val="003C69FB"/>
    <w:rsid w:val="003E100F"/>
    <w:rsid w:val="003E7920"/>
    <w:rsid w:val="003F4FCD"/>
    <w:rsid w:val="0040287F"/>
    <w:rsid w:val="004206E2"/>
    <w:rsid w:val="004223AC"/>
    <w:rsid w:val="004311E8"/>
    <w:rsid w:val="004501B0"/>
    <w:rsid w:val="004568C0"/>
    <w:rsid w:val="004573B4"/>
    <w:rsid w:val="00457930"/>
    <w:rsid w:val="00462188"/>
    <w:rsid w:val="004701ED"/>
    <w:rsid w:val="0047749A"/>
    <w:rsid w:val="004962EA"/>
    <w:rsid w:val="004A07C0"/>
    <w:rsid w:val="004A7C39"/>
    <w:rsid w:val="004B25D2"/>
    <w:rsid w:val="004D01B9"/>
    <w:rsid w:val="004D59CF"/>
    <w:rsid w:val="004E4DA1"/>
    <w:rsid w:val="004E5CE9"/>
    <w:rsid w:val="00503B96"/>
    <w:rsid w:val="00521C3B"/>
    <w:rsid w:val="005340BA"/>
    <w:rsid w:val="005374CA"/>
    <w:rsid w:val="005558B2"/>
    <w:rsid w:val="00572ABA"/>
    <w:rsid w:val="00594233"/>
    <w:rsid w:val="005A30C5"/>
    <w:rsid w:val="005A366C"/>
    <w:rsid w:val="005C7CB1"/>
    <w:rsid w:val="005D5803"/>
    <w:rsid w:val="005E5411"/>
    <w:rsid w:val="005E77EE"/>
    <w:rsid w:val="006258C6"/>
    <w:rsid w:val="006334FE"/>
    <w:rsid w:val="006527A0"/>
    <w:rsid w:val="00655A06"/>
    <w:rsid w:val="006C0A8E"/>
    <w:rsid w:val="006C2D4F"/>
    <w:rsid w:val="006D1411"/>
    <w:rsid w:val="006E7A50"/>
    <w:rsid w:val="006F1511"/>
    <w:rsid w:val="006F52DE"/>
    <w:rsid w:val="00722501"/>
    <w:rsid w:val="00744F32"/>
    <w:rsid w:val="00745198"/>
    <w:rsid w:val="00761460"/>
    <w:rsid w:val="00777510"/>
    <w:rsid w:val="007A27C5"/>
    <w:rsid w:val="007B68CA"/>
    <w:rsid w:val="007B7CF8"/>
    <w:rsid w:val="007C1365"/>
    <w:rsid w:val="007C2F79"/>
    <w:rsid w:val="007C4AA7"/>
    <w:rsid w:val="007D1D67"/>
    <w:rsid w:val="007D5655"/>
    <w:rsid w:val="007E0A86"/>
    <w:rsid w:val="00802690"/>
    <w:rsid w:val="00824850"/>
    <w:rsid w:val="0082647B"/>
    <w:rsid w:val="00852AAF"/>
    <w:rsid w:val="0086732D"/>
    <w:rsid w:val="008837DD"/>
    <w:rsid w:val="008A51B9"/>
    <w:rsid w:val="008A7B6A"/>
    <w:rsid w:val="008C0037"/>
    <w:rsid w:val="008C6AC3"/>
    <w:rsid w:val="008D2D26"/>
    <w:rsid w:val="008F1F1C"/>
    <w:rsid w:val="009236F7"/>
    <w:rsid w:val="00935359"/>
    <w:rsid w:val="00956DB9"/>
    <w:rsid w:val="00992443"/>
    <w:rsid w:val="00997FDF"/>
    <w:rsid w:val="009A5781"/>
    <w:rsid w:val="009B2C34"/>
    <w:rsid w:val="009C36B0"/>
    <w:rsid w:val="009C3F37"/>
    <w:rsid w:val="009D5E0B"/>
    <w:rsid w:val="009E15CC"/>
    <w:rsid w:val="00A537FE"/>
    <w:rsid w:val="00A653AE"/>
    <w:rsid w:val="00A8588E"/>
    <w:rsid w:val="00AA6736"/>
    <w:rsid w:val="00AB354B"/>
    <w:rsid w:val="00AB4F3B"/>
    <w:rsid w:val="00AB76C1"/>
    <w:rsid w:val="00AD3730"/>
    <w:rsid w:val="00AF6DBA"/>
    <w:rsid w:val="00B1605E"/>
    <w:rsid w:val="00B32A49"/>
    <w:rsid w:val="00B35B6C"/>
    <w:rsid w:val="00B5630C"/>
    <w:rsid w:val="00B87CC5"/>
    <w:rsid w:val="00B91D63"/>
    <w:rsid w:val="00BB0B44"/>
    <w:rsid w:val="00BB763F"/>
    <w:rsid w:val="00BC028E"/>
    <w:rsid w:val="00BC3B97"/>
    <w:rsid w:val="00BD0568"/>
    <w:rsid w:val="00BE25B0"/>
    <w:rsid w:val="00BF1078"/>
    <w:rsid w:val="00BF7B8F"/>
    <w:rsid w:val="00C16C52"/>
    <w:rsid w:val="00C25B94"/>
    <w:rsid w:val="00C33167"/>
    <w:rsid w:val="00C33BC2"/>
    <w:rsid w:val="00C560DE"/>
    <w:rsid w:val="00C67566"/>
    <w:rsid w:val="00C67C14"/>
    <w:rsid w:val="00C71D48"/>
    <w:rsid w:val="00C8419D"/>
    <w:rsid w:val="00C904F2"/>
    <w:rsid w:val="00C97BE9"/>
    <w:rsid w:val="00CC0532"/>
    <w:rsid w:val="00CC59CC"/>
    <w:rsid w:val="00CD7313"/>
    <w:rsid w:val="00CE3B61"/>
    <w:rsid w:val="00CE40C5"/>
    <w:rsid w:val="00CE600E"/>
    <w:rsid w:val="00D03A85"/>
    <w:rsid w:val="00D95BFE"/>
    <w:rsid w:val="00DC1826"/>
    <w:rsid w:val="00DF5B46"/>
    <w:rsid w:val="00E10AFF"/>
    <w:rsid w:val="00E24021"/>
    <w:rsid w:val="00E342BD"/>
    <w:rsid w:val="00E453E5"/>
    <w:rsid w:val="00E70A13"/>
    <w:rsid w:val="00E73A8A"/>
    <w:rsid w:val="00EA3611"/>
    <w:rsid w:val="00EE4A3E"/>
    <w:rsid w:val="00F0577E"/>
    <w:rsid w:val="00F06188"/>
    <w:rsid w:val="00F0739B"/>
    <w:rsid w:val="00F11981"/>
    <w:rsid w:val="00F226DF"/>
    <w:rsid w:val="00F34FD8"/>
    <w:rsid w:val="00F51F22"/>
    <w:rsid w:val="00F53FA4"/>
    <w:rsid w:val="00F62F95"/>
    <w:rsid w:val="00F776FE"/>
    <w:rsid w:val="00F93489"/>
    <w:rsid w:val="00FA16F5"/>
    <w:rsid w:val="00FA4AE8"/>
    <w:rsid w:val="00FA4C3F"/>
    <w:rsid w:val="00FB7338"/>
    <w:rsid w:val="00FB74C6"/>
    <w:rsid w:val="00FD436A"/>
    <w:rsid w:val="00FE3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A3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460"/>
  </w:style>
  <w:style w:type="paragraph" w:styleId="Heading1">
    <w:name w:val="heading 1"/>
    <w:basedOn w:val="Normal"/>
    <w:link w:val="Heading1Char"/>
    <w:uiPriority w:val="9"/>
    <w:qFormat/>
    <w:rsid w:val="004206E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B25D2"/>
    <w:rPr>
      <w:sz w:val="20"/>
      <w:szCs w:val="20"/>
    </w:rPr>
  </w:style>
  <w:style w:type="character" w:customStyle="1" w:styleId="FootnoteTextChar">
    <w:name w:val="Footnote Text Char"/>
    <w:basedOn w:val="DefaultParagraphFont"/>
    <w:link w:val="FootnoteText"/>
    <w:uiPriority w:val="99"/>
    <w:semiHidden/>
    <w:rsid w:val="004B25D2"/>
    <w:rPr>
      <w:sz w:val="20"/>
      <w:szCs w:val="20"/>
    </w:rPr>
  </w:style>
  <w:style w:type="character" w:styleId="FootnoteReference">
    <w:name w:val="footnote reference"/>
    <w:basedOn w:val="DefaultParagraphFont"/>
    <w:uiPriority w:val="99"/>
    <w:semiHidden/>
    <w:unhideWhenUsed/>
    <w:rsid w:val="004B25D2"/>
    <w:rPr>
      <w:vertAlign w:val="superscript"/>
    </w:rPr>
  </w:style>
  <w:style w:type="paragraph" w:styleId="Header">
    <w:name w:val="header"/>
    <w:basedOn w:val="Normal"/>
    <w:link w:val="HeaderChar"/>
    <w:uiPriority w:val="99"/>
    <w:unhideWhenUsed/>
    <w:rsid w:val="00327F88"/>
    <w:pPr>
      <w:tabs>
        <w:tab w:val="center" w:pos="4680"/>
        <w:tab w:val="right" w:pos="9360"/>
      </w:tabs>
    </w:pPr>
  </w:style>
  <w:style w:type="character" w:customStyle="1" w:styleId="HeaderChar">
    <w:name w:val="Header Char"/>
    <w:basedOn w:val="DefaultParagraphFont"/>
    <w:link w:val="Header"/>
    <w:uiPriority w:val="99"/>
    <w:rsid w:val="00327F88"/>
  </w:style>
  <w:style w:type="paragraph" w:styleId="Footer">
    <w:name w:val="footer"/>
    <w:basedOn w:val="Normal"/>
    <w:link w:val="FooterChar"/>
    <w:uiPriority w:val="99"/>
    <w:unhideWhenUsed/>
    <w:rsid w:val="00327F88"/>
    <w:pPr>
      <w:tabs>
        <w:tab w:val="center" w:pos="4680"/>
        <w:tab w:val="right" w:pos="9360"/>
      </w:tabs>
    </w:pPr>
  </w:style>
  <w:style w:type="character" w:customStyle="1" w:styleId="FooterChar">
    <w:name w:val="Footer Char"/>
    <w:basedOn w:val="DefaultParagraphFont"/>
    <w:link w:val="Footer"/>
    <w:uiPriority w:val="99"/>
    <w:rsid w:val="00327F88"/>
  </w:style>
  <w:style w:type="character" w:customStyle="1" w:styleId="apple-converted-space">
    <w:name w:val="apple-converted-space"/>
    <w:basedOn w:val="DefaultParagraphFont"/>
    <w:rsid w:val="003F4FCD"/>
  </w:style>
  <w:style w:type="character" w:styleId="Emphasis">
    <w:name w:val="Emphasis"/>
    <w:basedOn w:val="DefaultParagraphFont"/>
    <w:uiPriority w:val="20"/>
    <w:qFormat/>
    <w:rsid w:val="003F4FCD"/>
    <w:rPr>
      <w:i/>
      <w:iCs/>
    </w:rPr>
  </w:style>
  <w:style w:type="character" w:styleId="Hyperlink">
    <w:name w:val="Hyperlink"/>
    <w:basedOn w:val="DefaultParagraphFont"/>
    <w:uiPriority w:val="99"/>
    <w:unhideWhenUsed/>
    <w:rsid w:val="00956DB9"/>
    <w:rPr>
      <w:color w:val="0000FF" w:themeColor="hyperlink"/>
      <w:u w:val="single"/>
    </w:rPr>
  </w:style>
  <w:style w:type="character" w:customStyle="1" w:styleId="Heading1Char">
    <w:name w:val="Heading 1 Char"/>
    <w:basedOn w:val="DefaultParagraphFont"/>
    <w:link w:val="Heading1"/>
    <w:uiPriority w:val="9"/>
    <w:rsid w:val="004206E2"/>
    <w:rPr>
      <w:rFonts w:ascii="Times" w:hAnsi="Times"/>
      <w:b/>
      <w:bCs/>
      <w:kern w:val="36"/>
      <w:sz w:val="48"/>
      <w:szCs w:val="48"/>
    </w:rPr>
  </w:style>
  <w:style w:type="character" w:styleId="PageNumber">
    <w:name w:val="page number"/>
    <w:basedOn w:val="DefaultParagraphFont"/>
    <w:uiPriority w:val="99"/>
    <w:semiHidden/>
    <w:unhideWhenUsed/>
    <w:rsid w:val="00FA4C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460"/>
  </w:style>
  <w:style w:type="paragraph" w:styleId="Heading1">
    <w:name w:val="heading 1"/>
    <w:basedOn w:val="Normal"/>
    <w:link w:val="Heading1Char"/>
    <w:uiPriority w:val="9"/>
    <w:qFormat/>
    <w:rsid w:val="004206E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B25D2"/>
    <w:rPr>
      <w:sz w:val="20"/>
      <w:szCs w:val="20"/>
    </w:rPr>
  </w:style>
  <w:style w:type="character" w:customStyle="1" w:styleId="FootnoteTextChar">
    <w:name w:val="Footnote Text Char"/>
    <w:basedOn w:val="DefaultParagraphFont"/>
    <w:link w:val="FootnoteText"/>
    <w:uiPriority w:val="99"/>
    <w:semiHidden/>
    <w:rsid w:val="004B25D2"/>
    <w:rPr>
      <w:sz w:val="20"/>
      <w:szCs w:val="20"/>
    </w:rPr>
  </w:style>
  <w:style w:type="character" w:styleId="FootnoteReference">
    <w:name w:val="footnote reference"/>
    <w:basedOn w:val="DefaultParagraphFont"/>
    <w:uiPriority w:val="99"/>
    <w:semiHidden/>
    <w:unhideWhenUsed/>
    <w:rsid w:val="004B25D2"/>
    <w:rPr>
      <w:vertAlign w:val="superscript"/>
    </w:rPr>
  </w:style>
  <w:style w:type="paragraph" w:styleId="Header">
    <w:name w:val="header"/>
    <w:basedOn w:val="Normal"/>
    <w:link w:val="HeaderChar"/>
    <w:uiPriority w:val="99"/>
    <w:unhideWhenUsed/>
    <w:rsid w:val="00327F88"/>
    <w:pPr>
      <w:tabs>
        <w:tab w:val="center" w:pos="4680"/>
        <w:tab w:val="right" w:pos="9360"/>
      </w:tabs>
    </w:pPr>
  </w:style>
  <w:style w:type="character" w:customStyle="1" w:styleId="HeaderChar">
    <w:name w:val="Header Char"/>
    <w:basedOn w:val="DefaultParagraphFont"/>
    <w:link w:val="Header"/>
    <w:uiPriority w:val="99"/>
    <w:rsid w:val="00327F88"/>
  </w:style>
  <w:style w:type="paragraph" w:styleId="Footer">
    <w:name w:val="footer"/>
    <w:basedOn w:val="Normal"/>
    <w:link w:val="FooterChar"/>
    <w:uiPriority w:val="99"/>
    <w:unhideWhenUsed/>
    <w:rsid w:val="00327F88"/>
    <w:pPr>
      <w:tabs>
        <w:tab w:val="center" w:pos="4680"/>
        <w:tab w:val="right" w:pos="9360"/>
      </w:tabs>
    </w:pPr>
  </w:style>
  <w:style w:type="character" w:customStyle="1" w:styleId="FooterChar">
    <w:name w:val="Footer Char"/>
    <w:basedOn w:val="DefaultParagraphFont"/>
    <w:link w:val="Footer"/>
    <w:uiPriority w:val="99"/>
    <w:rsid w:val="00327F88"/>
  </w:style>
  <w:style w:type="character" w:customStyle="1" w:styleId="apple-converted-space">
    <w:name w:val="apple-converted-space"/>
    <w:basedOn w:val="DefaultParagraphFont"/>
    <w:rsid w:val="003F4FCD"/>
  </w:style>
  <w:style w:type="character" w:styleId="Emphasis">
    <w:name w:val="Emphasis"/>
    <w:basedOn w:val="DefaultParagraphFont"/>
    <w:uiPriority w:val="20"/>
    <w:qFormat/>
    <w:rsid w:val="003F4FCD"/>
    <w:rPr>
      <w:i/>
      <w:iCs/>
    </w:rPr>
  </w:style>
  <w:style w:type="character" w:styleId="Hyperlink">
    <w:name w:val="Hyperlink"/>
    <w:basedOn w:val="DefaultParagraphFont"/>
    <w:uiPriority w:val="99"/>
    <w:unhideWhenUsed/>
    <w:rsid w:val="00956DB9"/>
    <w:rPr>
      <w:color w:val="0000FF" w:themeColor="hyperlink"/>
      <w:u w:val="single"/>
    </w:rPr>
  </w:style>
  <w:style w:type="character" w:customStyle="1" w:styleId="Heading1Char">
    <w:name w:val="Heading 1 Char"/>
    <w:basedOn w:val="DefaultParagraphFont"/>
    <w:link w:val="Heading1"/>
    <w:uiPriority w:val="9"/>
    <w:rsid w:val="004206E2"/>
    <w:rPr>
      <w:rFonts w:ascii="Times" w:hAnsi="Times"/>
      <w:b/>
      <w:bCs/>
      <w:kern w:val="36"/>
      <w:sz w:val="48"/>
      <w:szCs w:val="48"/>
    </w:rPr>
  </w:style>
  <w:style w:type="character" w:styleId="PageNumber">
    <w:name w:val="page number"/>
    <w:basedOn w:val="DefaultParagraphFont"/>
    <w:uiPriority w:val="99"/>
    <w:semiHidden/>
    <w:unhideWhenUsed/>
    <w:rsid w:val="00FA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8194">
      <w:bodyDiv w:val="1"/>
      <w:marLeft w:val="0"/>
      <w:marRight w:val="0"/>
      <w:marTop w:val="0"/>
      <w:marBottom w:val="0"/>
      <w:divBdr>
        <w:top w:val="none" w:sz="0" w:space="0" w:color="auto"/>
        <w:left w:val="none" w:sz="0" w:space="0" w:color="auto"/>
        <w:bottom w:val="none" w:sz="0" w:space="0" w:color="auto"/>
        <w:right w:val="none" w:sz="0" w:space="0" w:color="auto"/>
      </w:divBdr>
    </w:div>
    <w:div w:id="443233633">
      <w:bodyDiv w:val="1"/>
      <w:marLeft w:val="0"/>
      <w:marRight w:val="0"/>
      <w:marTop w:val="0"/>
      <w:marBottom w:val="0"/>
      <w:divBdr>
        <w:top w:val="none" w:sz="0" w:space="0" w:color="auto"/>
        <w:left w:val="none" w:sz="0" w:space="0" w:color="auto"/>
        <w:bottom w:val="none" w:sz="0" w:space="0" w:color="auto"/>
        <w:right w:val="none" w:sz="0" w:space="0" w:color="auto"/>
      </w:divBdr>
    </w:div>
    <w:div w:id="18347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92763-704D-1C40-A2E9-C367BC60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3676</Words>
  <Characters>20957</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Burrel Vann Jr</dc:creator>
  <cp:lastModifiedBy>Burrel Vann</cp:lastModifiedBy>
  <cp:revision>14</cp:revision>
  <dcterms:created xsi:type="dcterms:W3CDTF">2013-03-18T16:40:00Z</dcterms:created>
  <dcterms:modified xsi:type="dcterms:W3CDTF">2016-08-15T22:16:00Z</dcterms:modified>
</cp:coreProperties>
</file>