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4"/>
        </w:rPr>
        <w:t>Business Requirements Document (BRD)</w:t>
      </w:r>
    </w:p>
    <w:p>
      <w:pPr>
        <w:jc w:val="center"/>
      </w:pPr>
      <w:r>
        <w:rPr>
          <w:color w:val="44546A"/>
          <w:sz w:val="26"/>
        </w:rPr>
        <w:t>AI Underwriting Research Assistant — Enterprise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5040"/>
          </w:tcPr>
          <w:p>
            <w:r>
              <w:t>AI Underwriting Research Assistant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t>Enterprise baseline / v1.0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040"/>
          </w:tcPr>
          <w:p>
            <w:r>
              <w:t>Founder/Product Owner, Engineering, Security, Risk, Compliance, Operations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Design principle</w:t>
            </w:r>
          </w:p>
        </w:tc>
        <w:tc>
          <w:tcPr>
            <w:tcW w:type="dxa" w:w="5040"/>
          </w:tcPr>
          <w:p>
            <w:r>
              <w:t>Human-controlled decision support; no autonomous credit-limit approval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BRD defines the business need, scope, stakeholders, outcomes, controls and acceptance conditions for an enterprise AI Underwriting Research Assistant. It is intentionally technology-light: it describes what the business needs and why.</w:t>
      </w:r>
    </w:p>
    <w:p>
      <w:pPr>
        <w:pStyle w:val="Heading1"/>
      </w:pPr>
      <w:r>
        <w:t>2. Business problem</w:t>
      </w:r>
    </w:p>
    <w:p>
      <w:r>
        <w:t>Underwriters can spend significant time gathering company information, reading financial and narrative documents, checking external developments, finding relevant internal guidance, identifying missing information and preparing a coherent risk memo. The work is repetitive but high-stakes: speed matters, yet evidence quality, consistency, confidentiality, explainability and human judgment must not be sacrificed.</w:t>
      </w:r>
    </w:p>
    <w:p>
      <w:pPr>
        <w:pStyle w:val="Heading1"/>
      </w:pPr>
      <w:r>
        <w:t>3. Business objective</w:t>
      </w:r>
    </w:p>
    <w:p>
      <w:pPr>
        <w:pStyle w:val="ListBullet"/>
      </w:pPr>
      <w:r>
        <w:t>Reduce time spent on information gathering and first-draft preparation.</w:t>
      </w:r>
    </w:p>
    <w:p>
      <w:pPr>
        <w:pStyle w:val="ListBullet"/>
      </w:pPr>
      <w:r>
        <w:t>Improve consistency and traceability of research and analysis.</w:t>
      </w:r>
    </w:p>
    <w:p>
      <w:pPr>
        <w:pStyle w:val="ListBullet"/>
      </w:pPr>
      <w:r>
        <w:t>Make source evidence easy to verify.</w:t>
      </w:r>
    </w:p>
    <w:p>
      <w:pPr>
        <w:pStyle w:val="ListBullet"/>
      </w:pPr>
      <w:r>
        <w:t>Surface missing information and contradictory evidence earlier.</w:t>
      </w:r>
    </w:p>
    <w:p>
      <w:pPr>
        <w:pStyle w:val="ListBullet"/>
      </w:pPr>
      <w:r>
        <w:t>Support—not replace—underwriter judgment.</w:t>
      </w:r>
    </w:p>
    <w:p>
      <w:pPr>
        <w:pStyle w:val="ListBullet"/>
      </w:pPr>
      <w:r>
        <w:t>Create an auditable, governable foundation that can scale across teams and approved use cases.</w:t>
      </w:r>
    </w:p>
    <w:p>
      <w:pPr>
        <w:pStyle w:val="Heading1"/>
      </w:pPr>
      <w:r>
        <w:t>4. Product summary</w:t>
      </w:r>
    </w:p>
    <w:p>
      <w:r>
        <w:t>The product creates a case workspace for an underwriter. For each case, it collects or receives authorized source material, extracts structured facts, retrieves relevant knowledge, summarizes company/industry/news context, highlights financial trends and risk signals, identifies gaps, and drafts an evidence-linked preliminary risk memo. The user reviews, corrects and accepts/rejects content before using it in the underwriting process.</w:t>
      </w:r>
    </w:p>
    <w:p>
      <w:pPr>
        <w:pStyle w:val="Heading1"/>
      </w:pPr>
      <w:r>
        <w:t>5. Stakeholders and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Need / responsibility</w:t>
            </w:r>
          </w:p>
        </w:tc>
      </w:tr>
      <w:tr>
        <w:tc>
          <w:tcPr>
            <w:tcW w:type="dxa" w:w="5040"/>
            <w:vAlign w:val="top"/>
          </w:tcPr>
          <w:p>
            <w:r>
              <w:t>Underwriter</w:t>
            </w:r>
          </w:p>
        </w:tc>
        <w:tc>
          <w:tcPr>
            <w:tcW w:type="dxa" w:w="5040"/>
            <w:vAlign w:val="top"/>
          </w:tcPr>
          <w:p>
            <w:r>
              <w:t>Create/review cases, inspect evidence, correct AI output, prepare analysis.</w:t>
            </w:r>
          </w:p>
        </w:tc>
      </w:tr>
      <w:tr>
        <w:tc>
          <w:tcPr>
            <w:tcW w:type="dxa" w:w="5040"/>
            <w:vAlign w:val="top"/>
          </w:tcPr>
          <w:p>
            <w:r>
              <w:t>Senior underwriter / manager</w:t>
            </w:r>
          </w:p>
        </w:tc>
        <w:tc>
          <w:tcPr>
            <w:tcW w:type="dxa" w:w="5040"/>
            <w:vAlign w:val="top"/>
          </w:tcPr>
          <w:p>
            <w:r>
              <w:t>Review quality, exceptions and pilot outcomes.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 owner</w:t>
            </w:r>
          </w:p>
        </w:tc>
        <w:tc>
          <w:tcPr>
            <w:tcW w:type="dxa" w:w="5040"/>
            <w:vAlign w:val="top"/>
          </w:tcPr>
          <w:p>
            <w:r>
              <w:t>Prioritize requirements, define acceptance and business value.</w:t>
            </w:r>
          </w:p>
        </w:tc>
      </w:tr>
      <w:tr>
        <w:tc>
          <w:tcPr>
            <w:tcW w:type="dxa" w:w="5040"/>
            <w:vAlign w:val="top"/>
          </w:tcPr>
          <w:p>
            <w:r>
              <w:t>Risk / model governance</w:t>
            </w:r>
          </w:p>
        </w:tc>
        <w:tc>
          <w:tcPr>
            <w:tcW w:type="dxa" w:w="5040"/>
            <w:vAlign w:val="top"/>
          </w:tcPr>
          <w:p>
            <w:r>
              <w:t>Approve AI use, evaluation and monitoring approach.</w:t>
            </w:r>
          </w:p>
        </w:tc>
      </w:tr>
      <w:tr>
        <w:tc>
          <w:tcPr>
            <w:tcW w:type="dxa" w:w="5040"/>
            <w:vAlign w:val="top"/>
          </w:tcPr>
          <w:p>
            <w:r>
              <w:t>Information security</w:t>
            </w:r>
          </w:p>
        </w:tc>
        <w:tc>
          <w:tcPr>
            <w:tcW w:type="dxa" w:w="5040"/>
            <w:vAlign w:val="top"/>
          </w:tcPr>
          <w:p>
            <w:r>
              <w:t>Approve threat model, access, secrets, logging and secure SDLC.</w:t>
            </w:r>
          </w:p>
        </w:tc>
      </w:tr>
      <w:tr>
        <w:tc>
          <w:tcPr>
            <w:tcW w:type="dxa" w:w="5040"/>
            <w:vAlign w:val="top"/>
          </w:tcPr>
          <w:p>
            <w:r>
              <w:t>Privacy / legal / compliance</w:t>
            </w:r>
          </w:p>
        </w:tc>
        <w:tc>
          <w:tcPr>
            <w:tcW w:type="dxa" w:w="5040"/>
            <w:vAlign w:val="top"/>
          </w:tcPr>
          <w:p>
            <w:r>
              <w:t>Approve data use, retention, notices, vendor/regulatory obligations.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Engineering / platform</w:t>
            </w:r>
          </w:p>
        </w:tc>
        <w:tc>
          <w:tcPr>
            <w:tcW w:type="dxa" w:w="5040"/>
            <w:vAlign w:val="top"/>
          </w:tcPr>
          <w:p>
            <w:r>
              <w:t>Build, operate, test and support the service.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owner</w:t>
            </w:r>
          </w:p>
        </w:tc>
        <w:tc>
          <w:tcPr>
            <w:tcW w:type="dxa" w:w="5040"/>
            <w:vAlign w:val="top"/>
          </w:tcPr>
          <w:p>
            <w:r>
              <w:t>Authorize data sources and data-quality rules.</w:t>
            </w:r>
          </w:p>
        </w:tc>
      </w:tr>
      <w:tr>
        <w:tc>
          <w:tcPr>
            <w:tcW w:type="dxa" w:w="5040"/>
            <w:vAlign w:val="top"/>
          </w:tcPr>
          <w:p>
            <w:r>
              <w:t>Internal audit</w:t>
            </w:r>
          </w:p>
        </w:tc>
        <w:tc>
          <w:tcPr>
            <w:tcW w:type="dxa" w:w="5040"/>
            <w:vAlign w:val="top"/>
          </w:tcPr>
          <w:p>
            <w:r>
              <w:t>Verify control evidence and traceability where applicable.</w:t>
            </w:r>
          </w:p>
        </w:tc>
      </w:tr>
    </w:tbl>
    <w:p>
      <w:pPr>
        <w:pStyle w:val="Heading1"/>
      </w:pPr>
      <w:r>
        <w:t>6. Scope</w:t>
      </w:r>
    </w:p>
    <w:p>
      <w:pPr>
        <w:pStyle w:val="Heading2"/>
      </w:pPr>
      <w:r>
        <w:t>6.1 MVP in scope</w:t>
      </w:r>
    </w:p>
    <w:p>
      <w:pPr>
        <w:pStyle w:val="ListBullet"/>
      </w:pPr>
      <w:r>
        <w:t>Secure login/SSO and role-based access.</w:t>
      </w:r>
    </w:p>
    <w:p>
      <w:pPr>
        <w:pStyle w:val="ListBullet"/>
      </w:pPr>
      <w:r>
        <w:t>Create/manage an underwriting research case.</w:t>
      </w:r>
    </w:p>
    <w:p>
      <w:pPr>
        <w:pStyle w:val="ListBullet"/>
      </w:pPr>
      <w:r>
        <w:t>Upload or connect to explicitly approved source material.</w:t>
      </w:r>
    </w:p>
    <w:p>
      <w:pPr>
        <w:pStyle w:val="ListBullet"/>
      </w:pPr>
      <w:r>
        <w:t>Document parsing and structured extraction.</w:t>
      </w:r>
    </w:p>
    <w:p>
      <w:pPr>
        <w:pStyle w:val="ListBullet"/>
      </w:pPr>
      <w:r>
        <w:t>Evidence-grounded retrieval and citations.</w:t>
      </w:r>
    </w:p>
    <w:p>
      <w:pPr>
        <w:pStyle w:val="ListBullet"/>
      </w:pPr>
      <w:r>
        <w:t>Company research summary from approved sources.</w:t>
      </w:r>
    </w:p>
    <w:p>
      <w:pPr>
        <w:pStyle w:val="ListBullet"/>
      </w:pPr>
      <w:r>
        <w:t>Financial trend summary and risk-signal identification.</w:t>
      </w:r>
    </w:p>
    <w:p>
      <w:pPr>
        <w:pStyle w:val="ListBullet"/>
      </w:pPr>
      <w:r>
        <w:t>Missing-information and contradiction detection.</w:t>
      </w:r>
    </w:p>
    <w:p>
      <w:pPr>
        <w:pStyle w:val="ListBullet"/>
      </w:pPr>
      <w:r>
        <w:t>Draft preliminary risk memo with source links/citations.</w:t>
      </w:r>
    </w:p>
    <w:p>
      <w:pPr>
        <w:pStyle w:val="ListBullet"/>
      </w:pPr>
      <w:r>
        <w:t>User correction/feedback and version history.</w:t>
      </w:r>
    </w:p>
    <w:p>
      <w:pPr>
        <w:pStyle w:val="ListBullet"/>
      </w:pPr>
      <w:r>
        <w:t>Audit log of key user, data, model and system actions.</w:t>
      </w:r>
    </w:p>
    <w:p>
      <w:pPr>
        <w:pStyle w:val="ListBullet"/>
      </w:pPr>
      <w:r>
        <w:t>Admin configuration for approved models/sources/features.</w:t>
      </w:r>
    </w:p>
    <w:p>
      <w:pPr>
        <w:pStyle w:val="ListBullet"/>
      </w:pPr>
      <w:r>
        <w:t>Operational monitoring, cost and usage telemetry.</w:t>
      </w:r>
    </w:p>
    <w:p>
      <w:pPr>
        <w:pStyle w:val="Heading2"/>
      </w:pPr>
      <w:r>
        <w:t>6.2 Explicitly out of scope for MVP</w:t>
      </w:r>
    </w:p>
    <w:p>
      <w:pPr>
        <w:pStyle w:val="ListBullet"/>
      </w:pPr>
      <w:r>
        <w:t>Autonomous approval, rejection or execution of a credit limit.</w:t>
      </w:r>
    </w:p>
    <w:p>
      <w:pPr>
        <w:pStyle w:val="ListBullet"/>
      </w:pPr>
      <w:r>
        <w:t>Unbounded autonomous web browsing or tool execution.</w:t>
      </w:r>
    </w:p>
    <w:p>
      <w:pPr>
        <w:pStyle w:val="ListBullet"/>
      </w:pPr>
      <w:r>
        <w:t>Use of confidential/proprietary data without explicit authorization and controls.</w:t>
      </w:r>
    </w:p>
    <w:p>
      <w:pPr>
        <w:pStyle w:val="ListBullet"/>
      </w:pPr>
      <w:r>
        <w:t>Self-modifying prompts/code in production.</w:t>
      </w:r>
    </w:p>
    <w:p>
      <w:pPr>
        <w:pStyle w:val="ListBullet"/>
      </w:pPr>
      <w:r>
        <w:t>Multi-agent architecture unless a measured need cannot be met more simply.</w:t>
      </w:r>
    </w:p>
    <w:p>
      <w:pPr>
        <w:pStyle w:val="ListBullet"/>
      </w:pPr>
      <w:r>
        <w:t>Automated customer communication or binding contractual action.</w:t>
      </w:r>
    </w:p>
    <w:p>
      <w:pPr>
        <w:pStyle w:val="Heading1"/>
      </w:pPr>
      <w:r>
        <w:t>7. Business process</w:t>
      </w:r>
    </w:p>
    <w:p>
      <w:pPr>
        <w:pStyle w:val="ListNumber"/>
      </w:pPr>
      <w:r>
        <w:t>Underwriter creates a case and selects/enters the company.</w:t>
      </w:r>
    </w:p>
    <w:p>
      <w:pPr>
        <w:pStyle w:val="ListNumber"/>
      </w:pPr>
      <w:r>
        <w:t>System validates identity, authorization and permitted data sources.</w:t>
      </w:r>
    </w:p>
    <w:p>
      <w:pPr>
        <w:pStyle w:val="ListNumber"/>
      </w:pPr>
      <w:r>
        <w:t>Authorized documents/data are ingested and indexed.</w:t>
      </w:r>
    </w:p>
    <w:p>
      <w:pPr>
        <w:pStyle w:val="ListNumber"/>
      </w:pPr>
      <w:r>
        <w:t>System extracts facts and performs grounded research/retrieval.</w:t>
      </w:r>
    </w:p>
    <w:p>
      <w:pPr>
        <w:pStyle w:val="ListNumber"/>
      </w:pPr>
      <w:r>
        <w:t>System generates structured analysis: facts, trends, risk signals, contradictions and missing information.</w:t>
      </w:r>
    </w:p>
    <w:p>
      <w:pPr>
        <w:pStyle w:val="ListNumber"/>
      </w:pPr>
      <w:r>
        <w:t>System drafts a preliminary memo with evidence references and uncertainty statements.</w:t>
      </w:r>
    </w:p>
    <w:p>
      <w:pPr>
        <w:pStyle w:val="ListNumber"/>
      </w:pPr>
      <w:r>
        <w:t>Underwriter reviews evidence, edits/corrects content and decides what to use.</w:t>
      </w:r>
    </w:p>
    <w:p>
      <w:pPr>
        <w:pStyle w:val="ListNumber"/>
      </w:pPr>
      <w:r>
        <w:t>Final underwriting decision remains in the authorized underwriting process/system.</w:t>
      </w:r>
    </w:p>
    <w:p>
      <w:pPr>
        <w:pStyle w:val="ListNumber"/>
      </w:pPr>
      <w:r>
        <w:t>System retains required audit evidence and monitoring data according to policy.</w:t>
      </w:r>
    </w:p>
    <w:p>
      <w:pPr>
        <w:pStyle w:val="Heading1"/>
      </w:pPr>
      <w:r>
        <w:t>8.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520"/>
            <w:vAlign w:val="top"/>
          </w:tcPr>
          <w:p>
            <w:r>
              <w:t>BR-01</w:t>
            </w:r>
          </w:p>
        </w:tc>
        <w:tc>
          <w:tcPr>
            <w:tcW w:type="dxa" w:w="2520"/>
            <w:vAlign w:val="top"/>
          </w:tcPr>
          <w:p>
            <w:r>
              <w:t>Human control</w:t>
            </w:r>
          </w:p>
        </w:tc>
        <w:tc>
          <w:tcPr>
            <w:tcW w:type="dxa" w:w="2520"/>
            <w:vAlign w:val="top"/>
          </w:tcPr>
          <w:p>
            <w:r>
              <w:t>The product shall not autonomously make or execute final credit-limit decisions in MVP.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BR-02</w:t>
            </w:r>
          </w:p>
        </w:tc>
        <w:tc>
          <w:tcPr>
            <w:tcW w:type="dxa" w:w="2520"/>
            <w:vAlign w:val="top"/>
          </w:tcPr>
          <w:p>
            <w:r>
              <w:t>Evidence</w:t>
            </w:r>
          </w:p>
        </w:tc>
        <w:tc>
          <w:tcPr>
            <w:tcW w:type="dxa" w:w="2520"/>
            <w:vAlign w:val="top"/>
          </w:tcPr>
          <w:p>
            <w:r>
              <w:t>Material factual claims shall be traceable to authorized source evidence.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BR-03</w:t>
            </w:r>
          </w:p>
        </w:tc>
        <w:tc>
          <w:tcPr>
            <w:tcW w:type="dxa" w:w="2520"/>
            <w:vAlign w:val="top"/>
          </w:tcPr>
          <w:p>
            <w:r>
              <w:t>Uncertainty</w:t>
            </w:r>
          </w:p>
        </w:tc>
        <w:tc>
          <w:tcPr>
            <w:tcW w:type="dxa" w:w="2520"/>
            <w:vAlign w:val="top"/>
          </w:tcPr>
          <w:p>
            <w:r>
              <w:t>The product shall distinguish unavailable/uncertain information from verified facts.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BR-04</w:t>
            </w:r>
          </w:p>
        </w:tc>
        <w:tc>
          <w:tcPr>
            <w:tcW w:type="dxa" w:w="2520"/>
            <w:vAlign w:val="top"/>
          </w:tcPr>
          <w:p>
            <w:r>
              <w:t>Access</w:t>
            </w:r>
          </w:p>
        </w:tc>
        <w:tc>
          <w:tcPr>
            <w:tcW w:type="dxa" w:w="2520"/>
            <w:vAlign w:val="top"/>
          </w:tcPr>
          <w:p>
            <w:r>
              <w:t>Users shall access only cases/data permitted by their role and organizational scope.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BR-05</w:t>
            </w:r>
          </w:p>
        </w:tc>
        <w:tc>
          <w:tcPr>
            <w:tcW w:type="dxa" w:w="2520"/>
            <w:vAlign w:val="top"/>
          </w:tcPr>
          <w:p>
            <w:r>
              <w:t>Auditability</w:t>
            </w:r>
          </w:p>
        </w:tc>
        <w:tc>
          <w:tcPr>
            <w:tcW w:type="dxa" w:w="2520"/>
            <w:vAlign w:val="top"/>
          </w:tcPr>
          <w:p>
            <w:r>
              <w:t>Material user, model, prompt/configuration, source and output events shall be reconstructable.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BR-06</w:t>
            </w:r>
          </w:p>
        </w:tc>
        <w:tc>
          <w:tcPr>
            <w:tcW w:type="dxa" w:w="2520"/>
            <w:vAlign w:val="top"/>
          </w:tcPr>
          <w:p>
            <w:r>
              <w:t>Confidentiality</w:t>
            </w:r>
          </w:p>
        </w:tc>
        <w:tc>
          <w:tcPr>
            <w:tcW w:type="dxa" w:w="2520"/>
            <w:vAlign w:val="top"/>
          </w:tcPr>
          <w:p>
            <w:r>
              <w:t>Data shall be handled according to classification, residency, retention and approved-vendor rules.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BR-07</w:t>
            </w:r>
          </w:p>
        </w:tc>
        <w:tc>
          <w:tcPr>
            <w:tcW w:type="dxa" w:w="2520"/>
            <w:vAlign w:val="top"/>
          </w:tcPr>
          <w:p>
            <w:r>
              <w:t>Correction</w:t>
            </w:r>
          </w:p>
        </w:tc>
        <w:tc>
          <w:tcPr>
            <w:tcW w:type="dxa" w:w="2520"/>
            <w:vAlign w:val="top"/>
          </w:tcPr>
          <w:p>
            <w:r>
              <w:t>Users shall be able to correct AI-generated content and preserve version history.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BR-08</w:t>
            </w:r>
          </w:p>
        </w:tc>
        <w:tc>
          <w:tcPr>
            <w:tcW w:type="dxa" w:w="2520"/>
            <w:vAlign w:val="top"/>
          </w:tcPr>
          <w:p>
            <w:r>
              <w:t>Quality</w:t>
            </w:r>
          </w:p>
        </w:tc>
        <w:tc>
          <w:tcPr>
            <w:tcW w:type="dxa" w:w="2520"/>
            <w:vAlign w:val="top"/>
          </w:tcPr>
          <w:p>
            <w:r>
              <w:t>AI features shall meet agreed evaluation thresholds before release and after material changes.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BR-09</w:t>
            </w:r>
          </w:p>
        </w:tc>
        <w:tc>
          <w:tcPr>
            <w:tcW w:type="dxa" w:w="2520"/>
            <w:vAlign w:val="top"/>
          </w:tcPr>
          <w:p>
            <w:r>
              <w:t>Resilience</w:t>
            </w:r>
          </w:p>
        </w:tc>
        <w:tc>
          <w:tcPr>
            <w:tcW w:type="dxa" w:w="2520"/>
            <w:vAlign w:val="top"/>
          </w:tcPr>
          <w:p>
            <w:r>
              <w:t>The service shall fail safely when a model/source/integration is unavailable.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BR-10</w:t>
            </w:r>
          </w:p>
        </w:tc>
        <w:tc>
          <w:tcPr>
            <w:tcW w:type="dxa" w:w="2520"/>
            <w:vAlign w:val="top"/>
          </w:tcPr>
          <w:p>
            <w:r>
              <w:t>Transparency</w:t>
            </w:r>
          </w:p>
        </w:tc>
        <w:tc>
          <w:tcPr>
            <w:tcW w:type="dxa" w:w="2520"/>
            <w:vAlign w:val="top"/>
          </w:tcPr>
          <w:p>
            <w:r>
              <w:t>The UI shall identify AI-generated content and provide supporting evidence where applicable.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</w:tr>
      <w:tr>
        <w:tc>
          <w:tcPr>
            <w:tcW w:type="dxa" w:w="2520"/>
            <w:vAlign w:val="top"/>
          </w:tcPr>
          <w:p>
            <w:r>
              <w:t>BR-11</w:t>
            </w:r>
          </w:p>
        </w:tc>
        <w:tc>
          <w:tcPr>
            <w:tcW w:type="dxa" w:w="2520"/>
            <w:vAlign w:val="top"/>
          </w:tcPr>
          <w:p>
            <w:r>
              <w:t>Cost control</w:t>
            </w:r>
          </w:p>
        </w:tc>
        <w:tc>
          <w:tcPr>
            <w:tcW w:type="dxa" w:w="2520"/>
            <w:vAlign w:val="top"/>
          </w:tcPr>
          <w:p>
            <w:r>
              <w:t>Usage and model cost shall be observable and subject to configurable limits.</w:t>
            </w:r>
          </w:p>
        </w:tc>
        <w:tc>
          <w:tcPr>
            <w:tcW w:type="dxa" w:w="2520"/>
            <w:vAlign w:val="top"/>
          </w:tcPr>
          <w:p>
            <w:r>
              <w:t>Should</w:t>
            </w:r>
          </w:p>
        </w:tc>
      </w:tr>
      <w:tr>
        <w:tc>
          <w:tcPr>
            <w:tcW w:type="dxa" w:w="2520"/>
            <w:vAlign w:val="top"/>
          </w:tcPr>
          <w:p>
            <w:r>
              <w:t>BR-12</w:t>
            </w:r>
          </w:p>
        </w:tc>
        <w:tc>
          <w:tcPr>
            <w:tcW w:type="dxa" w:w="2520"/>
            <w:vAlign w:val="top"/>
          </w:tcPr>
          <w:p>
            <w:r>
              <w:t>Feedback</w:t>
            </w:r>
          </w:p>
        </w:tc>
        <w:tc>
          <w:tcPr>
            <w:tcW w:type="dxa" w:w="2520"/>
            <w:vAlign w:val="top"/>
          </w:tcPr>
          <w:p>
            <w:r>
              <w:t>Pilot users shall be able to flag incorrect, unsupported or unsafe outputs.</w:t>
            </w:r>
          </w:p>
        </w:tc>
        <w:tc>
          <w:tcPr>
            <w:tcW w:type="dxa" w:w="2520"/>
            <w:vAlign w:val="top"/>
          </w:tcPr>
          <w:p>
            <w:r>
              <w:t>Should</w:t>
            </w:r>
          </w:p>
        </w:tc>
      </w:tr>
      <w:tr>
        <w:tc>
          <w:tcPr>
            <w:tcW w:type="dxa" w:w="2520"/>
            <w:vAlign w:val="top"/>
          </w:tcPr>
          <w:p>
            <w:r>
              <w:t>BR-13</w:t>
            </w:r>
          </w:p>
        </w:tc>
        <w:tc>
          <w:tcPr>
            <w:tcW w:type="dxa" w:w="2520"/>
            <w:vAlign w:val="top"/>
          </w:tcPr>
          <w:p>
            <w:r>
              <w:t>Administration</w:t>
            </w:r>
          </w:p>
        </w:tc>
        <w:tc>
          <w:tcPr>
            <w:tcW w:type="dxa" w:w="2520"/>
            <w:vAlign w:val="top"/>
          </w:tcPr>
          <w:p>
            <w:r>
              <w:t>Authorized admins shall manage approved sources, model/config versions and feature rollout.</w:t>
            </w:r>
          </w:p>
        </w:tc>
        <w:tc>
          <w:tcPr>
            <w:tcW w:type="dxa" w:w="2520"/>
            <w:vAlign w:val="top"/>
          </w:tcPr>
          <w:p>
            <w:r>
              <w:t>Should</w:t>
            </w:r>
          </w:p>
        </w:tc>
      </w:tr>
    </w:tbl>
    <w:p>
      <w:pPr>
        <w:pStyle w:val="Heading1"/>
      </w:pPr>
      <w:r>
        <w:t>9. Non-functional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Requirement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t>Availability</w:t>
            </w:r>
          </w:p>
        </w:tc>
        <w:tc>
          <w:tcPr>
            <w:tcW w:type="dxa" w:w="5040"/>
            <w:vAlign w:val="top"/>
          </w:tcPr>
          <w:p>
            <w:r>
              <w:t>Target to be agreed after pilot; production architecture must remove obvious single points of failure.</w:t>
            </w:r>
          </w:p>
        </w:tc>
      </w:tr>
      <w:tr>
        <w:tc>
          <w:tcPr>
            <w:tcW w:type="dxa" w:w="5040"/>
            <w:vAlign w:val="top"/>
          </w:tcPr>
          <w:p>
            <w:r>
              <w:t>Performance</w:t>
            </w:r>
          </w:p>
        </w:tc>
        <w:tc>
          <w:tcPr>
            <w:tcW w:type="dxa" w:w="5040"/>
            <w:vAlign w:val="top"/>
          </w:tcPr>
          <w:p>
            <w:r>
              <w:t>Interactive actions should feel responsive; long-running analysis must show progress and be cancellable/retriable.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Least privilege, MFA via enterprise identity, encryption in transit/at rest, managed secrets, secure SDLC and incident response.</w:t>
            </w:r>
          </w:p>
        </w:tc>
      </w:tr>
      <w:tr>
        <w:tc>
          <w:tcPr>
            <w:tcW w:type="dxa" w:w="5040"/>
            <w:vAlign w:val="top"/>
          </w:tcPr>
          <w:p>
            <w:r>
              <w:t>Privacy</w:t>
            </w:r>
          </w:p>
        </w:tc>
        <w:tc>
          <w:tcPr>
            <w:tcW w:type="dxa" w:w="5040"/>
            <w:vAlign w:val="top"/>
          </w:tcPr>
          <w:p>
            <w:r>
              <w:t>Purpose limitation, minimization, retention/deletion, access controls and required privacy assessment.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</w:t>
            </w:r>
          </w:p>
        </w:tc>
        <w:tc>
          <w:tcPr>
            <w:tcW w:type="dxa" w:w="5040"/>
            <w:vAlign w:val="top"/>
          </w:tcPr>
          <w:p>
            <w:r>
              <w:t>Tamper-resistant or centrally protected logs with timestamps, actor, case, model/config and source references.</w:t>
            </w:r>
          </w:p>
        </w:tc>
      </w:tr>
      <w:tr>
        <w:tc>
          <w:tcPr>
            <w:tcW w:type="dxa" w:w="5040"/>
            <w:vAlign w:val="top"/>
          </w:tcPr>
          <w:p>
            <w:r>
              <w:t>Accessibility</w:t>
            </w:r>
          </w:p>
        </w:tc>
        <w:tc>
          <w:tcPr>
            <w:tcW w:type="dxa" w:w="5040"/>
            <w:vAlign w:val="top"/>
          </w:tcPr>
          <w:p>
            <w:r>
              <w:t>Enterprise UI should target WCAG 2.2 AA where applicable.</w:t>
            </w:r>
          </w:p>
        </w:tc>
      </w:tr>
      <w:tr>
        <w:tc>
          <w:tcPr>
            <w:tcW w:type="dxa" w:w="5040"/>
            <w:vAlign w:val="top"/>
          </w:tcPr>
          <w:p>
            <w:r>
              <w:t>Maintainability</w:t>
            </w:r>
          </w:p>
        </w:tc>
        <w:tc>
          <w:tcPr>
            <w:tcW w:type="dxa" w:w="5040"/>
            <w:vAlign w:val="top"/>
          </w:tcPr>
          <w:p>
            <w:r>
              <w:t>Versioned APIs/configuration, automated tests, IaC, documented runbooks and controlled releases.</w:t>
            </w:r>
          </w:p>
        </w:tc>
      </w:tr>
      <w:tr>
        <w:tc>
          <w:tcPr>
            <w:tcW w:type="dxa" w:w="5040"/>
            <w:vAlign w:val="top"/>
          </w:tcPr>
          <w:p>
            <w:r>
              <w:t>Portability</w:t>
            </w:r>
          </w:p>
        </w:tc>
        <w:tc>
          <w:tcPr>
            <w:tcW w:type="dxa" w:w="5040"/>
            <w:vAlign w:val="top"/>
          </w:tcPr>
          <w:p>
            <w:r>
              <w:t>Business logic should not be tightly coupled to one model provider.</w:t>
            </w:r>
          </w:p>
        </w:tc>
      </w:tr>
    </w:tbl>
    <w:p>
      <w:pPr>
        <w:pStyle w:val="Heading1"/>
      </w:pPr>
      <w:r>
        <w:t>10.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Pilot 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t>Research preparation time</w:t>
            </w:r>
          </w:p>
        </w:tc>
        <w:tc>
          <w:tcPr>
            <w:tcW w:type="dxa" w:w="5040"/>
            <w:vAlign w:val="top"/>
          </w:tcPr>
          <w:p>
            <w:r>
              <w:t>Compare median time per comparable case before vs. with product.</w:t>
            </w:r>
          </w:p>
        </w:tc>
      </w:tr>
      <w:tr>
        <w:tc>
          <w:tcPr>
            <w:tcW w:type="dxa" w:w="5040"/>
            <w:vAlign w:val="top"/>
          </w:tcPr>
          <w:p>
            <w:r>
              <w:t>Evidence verification</w:t>
            </w:r>
          </w:p>
        </w:tc>
        <w:tc>
          <w:tcPr>
            <w:tcW w:type="dxa" w:w="5040"/>
            <w:vAlign w:val="top"/>
          </w:tcPr>
          <w:p>
            <w:r>
              <w:t>% of material factual statements with valid accessible evidence.</w:t>
            </w:r>
          </w:p>
        </w:tc>
      </w:tr>
      <w:tr>
        <w:tc>
          <w:tcPr>
            <w:tcW w:type="dxa" w:w="5040"/>
            <w:vAlign w:val="top"/>
          </w:tcPr>
          <w:p>
            <w:r>
              <w:t>Groundedness/unsupported claims</w:t>
            </w:r>
          </w:p>
        </w:tc>
        <w:tc>
          <w:tcPr>
            <w:tcW w:type="dxa" w:w="5040"/>
            <w:vAlign w:val="top"/>
          </w:tcPr>
          <w:p>
            <w:r>
              <w:t>Rate measured on a curated evaluation set and pilot review.</w:t>
            </w:r>
          </w:p>
        </w:tc>
      </w:tr>
      <w:tr>
        <w:tc>
          <w:tcPr>
            <w:tcW w:type="dxa" w:w="5040"/>
            <w:vAlign w:val="top"/>
          </w:tcPr>
          <w:p>
            <w:r>
              <w:t>Extraction accuracy</w:t>
            </w:r>
          </w:p>
        </w:tc>
        <w:tc>
          <w:tcPr>
            <w:tcW w:type="dxa" w:w="5040"/>
            <w:vAlign w:val="top"/>
          </w:tcPr>
          <w:p>
            <w:r>
              <w:t>Field-level accuracy for defined financial/company fields.</w:t>
            </w:r>
          </w:p>
        </w:tc>
      </w:tr>
      <w:tr>
        <w:tc>
          <w:tcPr>
            <w:tcW w:type="dxa" w:w="5040"/>
            <w:vAlign w:val="top"/>
          </w:tcPr>
          <w:p>
            <w:r>
              <w:t>User correction rate</w:t>
            </w:r>
          </w:p>
        </w:tc>
        <w:tc>
          <w:tcPr>
            <w:tcW w:type="dxa" w:w="5040"/>
            <w:vAlign w:val="top"/>
          </w:tcPr>
          <w:p>
            <w:r>
              <w:t>Track edits/rejections by output section to find weak areas.</w:t>
            </w:r>
          </w:p>
        </w:tc>
      </w:tr>
      <w:tr>
        <w:tc>
          <w:tcPr>
            <w:tcW w:type="dxa" w:w="5040"/>
            <w:vAlign w:val="top"/>
          </w:tcPr>
          <w:p>
            <w:r>
              <w:t>User adoption</w:t>
            </w:r>
          </w:p>
        </w:tc>
        <w:tc>
          <w:tcPr>
            <w:tcW w:type="dxa" w:w="5040"/>
            <w:vAlign w:val="top"/>
          </w:tcPr>
          <w:p>
            <w:r>
              <w:t>Active pilot users and completed cases, interpreted with qualitative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Reliability</w:t>
            </w:r>
          </w:p>
        </w:tc>
        <w:tc>
          <w:tcPr>
            <w:tcW w:type="dxa" w:w="5040"/>
            <w:vAlign w:val="top"/>
          </w:tcPr>
          <w:p>
            <w:r>
              <w:t>Error rate, model/tool failure rate, latency and successful retries.</w:t>
            </w:r>
          </w:p>
        </w:tc>
      </w:tr>
      <w:tr>
        <w:tc>
          <w:tcPr>
            <w:tcW w:type="dxa" w:w="5040"/>
            <w:vAlign w:val="top"/>
          </w:tcPr>
          <w:p>
            <w:r>
              <w:t>Cost</w:t>
            </w:r>
          </w:p>
        </w:tc>
        <w:tc>
          <w:tcPr>
            <w:tcW w:type="dxa" w:w="5040"/>
            <w:vAlign w:val="top"/>
          </w:tcPr>
          <w:p>
            <w:r>
              <w:t>Average model/infrastructure cost per completed case.</w:t>
            </w:r>
          </w:p>
        </w:tc>
      </w:tr>
      <w:tr>
        <w:tc>
          <w:tcPr>
            <w:tcW w:type="dxa" w:w="5040"/>
            <w:vAlign w:val="top"/>
          </w:tcPr>
          <w:p>
            <w:r>
              <w:t>Safety</w:t>
            </w:r>
          </w:p>
        </w:tc>
        <w:tc>
          <w:tcPr>
            <w:tcW w:type="dxa" w:w="5040"/>
            <w:vAlign w:val="top"/>
          </w:tcPr>
          <w:p>
            <w:r>
              <w:t>Prompt-injection/security test pass rate and number/severity of incidents.</w:t>
            </w:r>
          </w:p>
        </w:tc>
      </w:tr>
    </w:tbl>
    <w:p>
      <w:pPr>
        <w:pStyle w:val="Heading1"/>
      </w:pPr>
      <w:r>
        <w:t>11. Assumptions, dependencies and constraints</w:t>
      </w:r>
    </w:p>
    <w:p>
      <w:pPr>
        <w:pStyle w:val="ListBullet"/>
      </w:pPr>
      <w:r>
        <w:t>Enterprise identity, cloud, logging and approved AI providers will be selected by organizational standards.</w:t>
      </w:r>
    </w:p>
    <w:p>
      <w:pPr>
        <w:pStyle w:val="ListBullet"/>
      </w:pPr>
      <w:r>
        <w:t>Data owners must explicitly authorize internal data sources before connection.</w:t>
      </w:r>
    </w:p>
    <w:p>
      <w:pPr>
        <w:pStyle w:val="ListBullet"/>
      </w:pPr>
      <w:r>
        <w:t>A representative evaluation dataset can be created from synthetic, public or legitimately authorized examples.</w:t>
      </w:r>
    </w:p>
    <w:p>
      <w:pPr>
        <w:pStyle w:val="ListBullet"/>
      </w:pPr>
      <w:r>
        <w:t>Legal/regulatory applicability depends on deployment geography, data and use case and must be assessed before production.</w:t>
      </w:r>
    </w:p>
    <w:p>
      <w:pPr>
        <w:pStyle w:val="ListBullet"/>
      </w:pPr>
      <w:r>
        <w:t>The product is decision support; accountability remains with authorized human roles and existing governance.</w:t>
      </w:r>
    </w:p>
    <w:p>
      <w:pPr>
        <w:pStyle w:val="Heading1"/>
      </w:pPr>
      <w:r>
        <w:t>12. Business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Example control</w:t>
            </w:r>
          </w:p>
        </w:tc>
      </w:tr>
      <w:tr>
        <w:tc>
          <w:tcPr>
            <w:tcW w:type="dxa" w:w="5040"/>
            <w:vAlign w:val="top"/>
          </w:tcPr>
          <w:p>
            <w:r>
              <w:t>Hallucinated/unsupported content</w:t>
            </w:r>
          </w:p>
        </w:tc>
        <w:tc>
          <w:tcPr>
            <w:tcW w:type="dxa" w:w="5040"/>
            <w:vAlign w:val="top"/>
          </w:tcPr>
          <w:p>
            <w:r>
              <w:t>RAG grounding, citations, abstention rules, evals, human review.</w:t>
            </w:r>
          </w:p>
        </w:tc>
      </w:tr>
      <w:tr>
        <w:tc>
          <w:tcPr>
            <w:tcW w:type="dxa" w:w="5040"/>
            <w:vAlign w:val="top"/>
          </w:tcPr>
          <w:p>
            <w:r>
              <w:t>Automation bias</w:t>
            </w:r>
          </w:p>
        </w:tc>
        <w:tc>
          <w:tcPr>
            <w:tcW w:type="dxa" w:w="5040"/>
            <w:vAlign w:val="top"/>
          </w:tcPr>
          <w:p>
            <w:r>
              <w:t>Evidence-first UI, uncertainty, mandatory human confirmation, training.</w:t>
            </w:r>
          </w:p>
        </w:tc>
      </w:tr>
      <w:tr>
        <w:tc>
          <w:tcPr>
            <w:tcW w:type="dxa" w:w="5040"/>
            <w:vAlign w:val="top"/>
          </w:tcPr>
          <w:p>
            <w:r>
              <w:t>Sensitive data leakage</w:t>
            </w:r>
          </w:p>
        </w:tc>
        <w:tc>
          <w:tcPr>
            <w:tcW w:type="dxa" w:w="5040"/>
            <w:vAlign w:val="top"/>
          </w:tcPr>
          <w:p>
            <w:r>
              <w:t>Classification, DLP, access control, provider settings/contracts, redaction where needed.</w:t>
            </w:r>
          </w:p>
        </w:tc>
      </w:tr>
      <w:tr>
        <w:tc>
          <w:tcPr>
            <w:tcW w:type="dxa" w:w="5040"/>
            <w:vAlign w:val="top"/>
          </w:tcPr>
          <w:p>
            <w:r>
              <w:t>Prompt injection</w:t>
            </w:r>
          </w:p>
        </w:tc>
        <w:tc>
          <w:tcPr>
            <w:tcW w:type="dxa" w:w="5040"/>
            <w:vAlign w:val="top"/>
          </w:tcPr>
          <w:p>
            <w:r>
              <w:t>Treat retrieved content as untrusted, isolate instructions from data, tool allowlists, output validation, security tests.</w:t>
            </w:r>
          </w:p>
        </w:tc>
      </w:tr>
      <w:tr>
        <w:tc>
          <w:tcPr>
            <w:tcW w:type="dxa" w:w="5040"/>
            <w:vAlign w:val="top"/>
          </w:tcPr>
          <w:p>
            <w:r>
              <w:t>Incorrect financial extraction</w:t>
            </w:r>
          </w:p>
        </w:tc>
        <w:tc>
          <w:tcPr>
            <w:tcW w:type="dxa" w:w="5040"/>
            <w:vAlign w:val="top"/>
          </w:tcPr>
          <w:p>
            <w:r>
              <w:t>Schema validation, deterministic calculations, reconciliation and user verification.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Vendor/model change</w:t>
            </w:r>
          </w:p>
        </w:tc>
        <w:tc>
          <w:tcPr>
            <w:tcW w:type="dxa" w:w="5040"/>
            <w:vAlign w:val="top"/>
          </w:tcPr>
          <w:p>
            <w:r>
              <w:t>Version pinning where possible, regression evals, abstraction/fallback, change control.</w:t>
            </w:r>
          </w:p>
        </w:tc>
      </w:tr>
      <w:tr>
        <w:tc>
          <w:tcPr>
            <w:tcW w:type="dxa" w:w="5040"/>
            <w:vAlign w:val="top"/>
          </w:tcPr>
          <w:p>
            <w:r>
              <w:t>Unauthorized action</w:t>
            </w:r>
          </w:p>
        </w:tc>
        <w:tc>
          <w:tcPr>
            <w:tcW w:type="dxa" w:w="5040"/>
            <w:vAlign w:val="top"/>
          </w:tcPr>
          <w:p>
            <w:r>
              <w:t>MVP no autonomous decisions; scoped tools; approvals; least-privilege service identities.</w:t>
            </w:r>
          </w:p>
        </w:tc>
      </w:tr>
    </w:tbl>
    <w:p>
      <w:pPr>
        <w:pStyle w:val="Heading1"/>
      </w:pPr>
      <w:r>
        <w:t>13. Phase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Business approval needed</w:t>
            </w:r>
          </w:p>
        </w:tc>
      </w:tr>
      <w:tr>
        <w:tc>
          <w:tcPr>
            <w:tcW w:type="dxa" w:w="5040"/>
            <w:vAlign w:val="top"/>
          </w:tcPr>
          <w:p>
            <w:r>
              <w:t>Discovery complete</w:t>
            </w:r>
          </w:p>
        </w:tc>
        <w:tc>
          <w:tcPr>
            <w:tcW w:type="dxa" w:w="5040"/>
            <w:vAlign w:val="top"/>
          </w:tcPr>
          <w:p>
            <w:r>
              <w:t>Problem, users, scope, metrics, data sources and non-goals approved.</w:t>
            </w:r>
          </w:p>
        </w:tc>
      </w:tr>
      <w:tr>
        <w:tc>
          <w:tcPr>
            <w:tcW w:type="dxa" w:w="5040"/>
            <w:vAlign w:val="top"/>
          </w:tcPr>
          <w:p>
            <w:r>
              <w:t>MVP build start</w:t>
            </w:r>
          </w:p>
        </w:tc>
        <w:tc>
          <w:tcPr>
            <w:tcW w:type="dxa" w:w="5040"/>
            <w:vAlign w:val="top"/>
          </w:tcPr>
          <w:p>
            <w:r>
              <w:t>BRD/PRD, architecture, threat model and data/privacy approach approved.</w:t>
            </w:r>
          </w:p>
        </w:tc>
      </w:tr>
      <w:tr>
        <w:tc>
          <w:tcPr>
            <w:tcW w:type="dxa" w:w="5040"/>
            <w:vAlign w:val="top"/>
          </w:tcPr>
          <w:p>
            <w:r>
              <w:t>Pilot start</w:t>
            </w:r>
          </w:p>
        </w:tc>
        <w:tc>
          <w:tcPr>
            <w:tcW w:type="dxa" w:w="5040"/>
            <w:vAlign w:val="top"/>
          </w:tcPr>
          <w:p>
            <w:r>
              <w:t>UAT, security, AI evaluations, operational readiness and training complete.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Production</w:t>
            </w:r>
          </w:p>
        </w:tc>
        <w:tc>
          <w:tcPr>
            <w:tcW w:type="dxa" w:w="5040"/>
            <w:vAlign w:val="top"/>
          </w:tcPr>
          <w:p>
            <w:r>
              <w:t>Formal production-readiness review, owner/support model, monitoring and rollback approved.</w:t>
            </w:r>
          </w:p>
        </w:tc>
      </w:tr>
    </w:tbl>
    <w:p>
      <w:pPr>
        <w:pStyle w:val="Heading1"/>
      </w:pPr>
      <w:r>
        <w:t>14. BRD acceptance</w:t>
      </w:r>
    </w:p>
    <w:p>
      <w:r>
        <w:t>The BRD is ready for sign-off when business owner, product, security, risk/governance, privacy/compliance and engineering agree on scope, decision boundaries, data authorization, measurable outcomes and the pilot/production gates.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AI Underwriting Research Assistant | Enterprise Product Pack</w:t>
    </w:r>
  </w:p>
  <w:p>
    <w:pPr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