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Product Requirements Document (PRD)</w:t>
      </w:r>
    </w:p>
    <w:p>
      <w:pPr>
        <w:jc w:val="center"/>
      </w:pPr>
      <w:r>
        <w:rPr>
          <w:color w:val="44546A"/>
          <w:sz w:val="26"/>
        </w:rPr>
        <w:t>AI Underwriting Research Assistant — Enterprise Baseline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040"/>
          </w:tcPr>
          <w:p>
            <w:r>
              <w:t>AI Underwriting Research Assistant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t>Enterprise baseline / v1.0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040"/>
          </w:tcPr>
          <w:p>
            <w:r>
              <w:t>Founder/Product Owner, Engineering, Security, Risk, Compliance, Operations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Design principle</w:t>
            </w:r>
          </w:p>
        </w:tc>
        <w:tc>
          <w:tcPr>
            <w:tcW w:type="dxa" w:w="5040"/>
          </w:tcPr>
          <w:p>
            <w:r>
              <w:t>Human-controlled decision support; no autonomous credit-limit approval</w:t>
            </w:r>
          </w:p>
        </w:tc>
      </w:tr>
    </w:tbl>
    <w:p>
      <w:r>
        <w:br w:type="page"/>
      </w:r>
    </w:p>
    <w:p>
      <w:pPr>
        <w:pStyle w:val="Heading1"/>
      </w:pPr>
      <w:r>
        <w:t>1. Product vision</w:t>
      </w:r>
    </w:p>
    <w:p>
      <w:r>
        <w:t>Give underwriters a secure, evidence-first workspace that converts authorized information into a reviewable research pack and preliminary risk memo, while keeping the human in control and making every material AI output testable, traceable and governable.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Evidence before eloquence.</w:t>
      </w:r>
    </w:p>
    <w:p>
      <w:pPr>
        <w:pStyle w:val="ListBullet"/>
      </w:pPr>
      <w:r>
        <w:t>Human decision authority is explicit.</w:t>
      </w:r>
    </w:p>
    <w:p>
      <w:pPr>
        <w:pStyle w:val="ListBullet"/>
      </w:pPr>
      <w:r>
        <w:t>Deterministic logic for deterministic tasks; LLMs only where they add value.</w:t>
      </w:r>
    </w:p>
    <w:p>
      <w:pPr>
        <w:pStyle w:val="ListBullet"/>
      </w:pPr>
      <w:r>
        <w:t>No hidden autonomy: tool permissions and approval points are visible and bounded.</w:t>
      </w:r>
    </w:p>
    <w:p>
      <w:pPr>
        <w:pStyle w:val="ListBullet"/>
      </w:pPr>
      <w:r>
        <w:t>Secure by default, least privilege, no secrets in code.</w:t>
      </w:r>
    </w:p>
    <w:p>
      <w:pPr>
        <w:pStyle w:val="ListBullet"/>
      </w:pPr>
      <w:r>
        <w:t>Every AI change is an evaluated change.</w:t>
      </w:r>
    </w:p>
    <w:p>
      <w:pPr>
        <w:pStyle w:val="ListBullet"/>
      </w:pPr>
      <w:r>
        <w:t>Every feature ships with tests, observability and documentation.</w:t>
      </w:r>
    </w:p>
    <w:p>
      <w:pPr>
        <w:pStyle w:val="ListBullet"/>
      </w:pPr>
      <w:r>
        <w:t>Prefer simple architecture until scale or measured requirements justify complexity.</w:t>
      </w:r>
    </w:p>
    <w:p>
      <w:pPr>
        <w:pStyle w:val="Heading1"/>
      </w:pPr>
      <w:r>
        <w:t>3. Primary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User story</w:t>
            </w:r>
          </w:p>
        </w:tc>
      </w:tr>
      <w:tr>
        <w:tc>
          <w:tcPr>
            <w:tcW w:type="dxa" w:w="5040"/>
            <w:vAlign w:val="top"/>
          </w:tcPr>
          <w:p>
            <w:r>
              <w:t>US-01</w:t>
            </w:r>
          </w:p>
        </w:tc>
        <w:tc>
          <w:tcPr>
            <w:tcW w:type="dxa" w:w="5040"/>
            <w:vAlign w:val="top"/>
          </w:tcPr>
          <w:p>
            <w:r>
              <w:t>As an underwriter, I want to create a research case so that all evidence and analysis are organized in one place.</w:t>
            </w:r>
          </w:p>
        </w:tc>
      </w:tr>
      <w:tr>
        <w:tc>
          <w:tcPr>
            <w:tcW w:type="dxa" w:w="5040"/>
            <w:vAlign w:val="top"/>
          </w:tcPr>
          <w:p>
            <w:r>
              <w:t>US-02</w:t>
            </w:r>
          </w:p>
        </w:tc>
        <w:tc>
          <w:tcPr>
            <w:tcW w:type="dxa" w:w="5040"/>
            <w:vAlign w:val="top"/>
          </w:tcPr>
          <w:p>
            <w:r>
              <w:t>As an underwriter, I want to see the source behind a factual statement so that I can verify it quickly.</w:t>
            </w:r>
          </w:p>
        </w:tc>
      </w:tr>
      <w:tr>
        <w:tc>
          <w:tcPr>
            <w:tcW w:type="dxa" w:w="5040"/>
            <w:vAlign w:val="top"/>
          </w:tcPr>
          <w:p>
            <w:r>
              <w:t>US-03</w:t>
            </w:r>
          </w:p>
        </w:tc>
        <w:tc>
          <w:tcPr>
            <w:tcW w:type="dxa" w:w="5040"/>
            <w:vAlign w:val="top"/>
          </w:tcPr>
          <w:p>
            <w:r>
              <w:t>As an underwriter, I want missing or conflicting information highlighted so that I know what to investigate.</w:t>
            </w:r>
          </w:p>
        </w:tc>
      </w:tr>
      <w:tr>
        <w:tc>
          <w:tcPr>
            <w:tcW w:type="dxa" w:w="5040"/>
            <w:vAlign w:val="top"/>
          </w:tcPr>
          <w:p>
            <w:r>
              <w:t>US-04</w:t>
            </w:r>
          </w:p>
        </w:tc>
        <w:tc>
          <w:tcPr>
            <w:tcW w:type="dxa" w:w="5040"/>
            <w:vAlign w:val="top"/>
          </w:tcPr>
          <w:p>
            <w:r>
              <w:t>As an underwriter, I want financial data extracted into a consistent schema so that I can review trends.</w:t>
            </w:r>
          </w:p>
        </w:tc>
      </w:tr>
      <w:tr>
        <w:tc>
          <w:tcPr>
            <w:tcW w:type="dxa" w:w="5040"/>
            <w:vAlign w:val="top"/>
          </w:tcPr>
          <w:p>
            <w:r>
              <w:t>US-05</w:t>
            </w:r>
          </w:p>
        </w:tc>
        <w:tc>
          <w:tcPr>
            <w:tcW w:type="dxa" w:w="5040"/>
            <w:vAlign w:val="top"/>
          </w:tcPr>
          <w:p>
            <w:r>
              <w:t>As an underwriter, I want a draft memo that clearly separates facts, analysis and uncertainty so that I can edit it efficiently.</w:t>
            </w:r>
          </w:p>
        </w:tc>
      </w:tr>
      <w:tr>
        <w:tc>
          <w:tcPr>
            <w:tcW w:type="dxa" w:w="5040"/>
            <w:vAlign w:val="top"/>
          </w:tcPr>
          <w:p>
            <w:r>
              <w:t>US-06</w:t>
            </w:r>
          </w:p>
        </w:tc>
        <w:tc>
          <w:tcPr>
            <w:tcW w:type="dxa" w:w="5040"/>
            <w:vAlign w:val="top"/>
          </w:tcPr>
          <w:p>
            <w:r>
              <w:t>As a manager/governance reviewer, I want model/prompt/source versions and evaluation evidence so that I can understand how an output was produced.</w:t>
            </w:r>
          </w:p>
        </w:tc>
      </w:tr>
      <w:tr>
        <w:tc>
          <w:tcPr>
            <w:tcW w:type="dxa" w:w="5040"/>
            <w:vAlign w:val="top"/>
          </w:tcPr>
          <w:p>
            <w:r>
              <w:t>US-07</w:t>
            </w:r>
          </w:p>
        </w:tc>
        <w:tc>
          <w:tcPr>
            <w:tcW w:type="dxa" w:w="5040"/>
            <w:vAlign w:val="top"/>
          </w:tcPr>
          <w:p>
            <w:r>
              <w:t>As an admin, I want to enable only approved models, sources and features so that the product remains within policy.</w:t>
            </w:r>
          </w:p>
        </w:tc>
      </w:tr>
    </w:tbl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520"/>
            <w:shd w:fill="17365D"/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2520"/>
            <w:vAlign w:val="top"/>
          </w:tcPr>
          <w:p>
            <w:r>
              <w:t>FR-001</w:t>
            </w:r>
          </w:p>
        </w:tc>
        <w:tc>
          <w:tcPr>
            <w:tcW w:type="dxa" w:w="2520"/>
            <w:vAlign w:val="top"/>
          </w:tcPr>
          <w:p>
            <w:r>
              <w:t>Authentication</w:t>
            </w:r>
          </w:p>
        </w:tc>
        <w:tc>
          <w:tcPr>
            <w:tcW w:type="dxa" w:w="2520"/>
            <w:vAlign w:val="top"/>
          </w:tcPr>
          <w:p>
            <w:r>
              <w:t>Support enterprise SSO; no local production passwords unless explicitly approved.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FR-002</w:t>
            </w:r>
          </w:p>
        </w:tc>
        <w:tc>
          <w:tcPr>
            <w:tcW w:type="dxa" w:w="2520"/>
            <w:vAlign w:val="top"/>
          </w:tcPr>
          <w:p>
            <w:r>
              <w:t>Authorization</w:t>
            </w:r>
          </w:p>
        </w:tc>
        <w:tc>
          <w:tcPr>
            <w:tcW w:type="dxa" w:w="2520"/>
            <w:vAlign w:val="top"/>
          </w:tcPr>
          <w:p>
            <w:r>
              <w:t>RBAC plus case/data scope checks on every protected API.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FR-003</w:t>
            </w:r>
          </w:p>
        </w:tc>
        <w:tc>
          <w:tcPr>
            <w:tcW w:type="dxa" w:w="2520"/>
            <w:vAlign w:val="top"/>
          </w:tcPr>
          <w:p>
            <w:r>
              <w:t>Case management</w:t>
            </w:r>
          </w:p>
        </w:tc>
        <w:tc>
          <w:tcPr>
            <w:tcW w:type="dxa" w:w="2520"/>
            <w:vAlign w:val="top"/>
          </w:tcPr>
          <w:p>
            <w:r>
              <w:t>Create, view, update, archive research cases with owner/status/version metadata.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FR-004</w:t>
            </w:r>
          </w:p>
        </w:tc>
        <w:tc>
          <w:tcPr>
            <w:tcW w:type="dxa" w:w="2520"/>
            <w:vAlign w:val="top"/>
          </w:tcPr>
          <w:p>
            <w:r>
              <w:t>Source ingestion</w:t>
            </w:r>
          </w:p>
        </w:tc>
        <w:tc>
          <w:tcPr>
            <w:tcW w:type="dxa" w:w="2520"/>
            <w:vAlign w:val="top"/>
          </w:tcPr>
          <w:p>
            <w:r>
              <w:t>Accept approved document types/connectors; record source identity, timestamp and classification.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FR-005</w:t>
            </w:r>
          </w:p>
        </w:tc>
        <w:tc>
          <w:tcPr>
            <w:tcW w:type="dxa" w:w="2520"/>
            <w:vAlign w:val="top"/>
          </w:tcPr>
          <w:p>
            <w:r>
              <w:t>Parsing</w:t>
            </w:r>
          </w:p>
        </w:tc>
        <w:tc>
          <w:tcPr>
            <w:tcW w:type="dxa" w:w="2520"/>
            <w:vAlign w:val="top"/>
          </w:tcPr>
          <w:p>
            <w:r>
              <w:t>Extract text/tables with provenance to page/section/chunk where technically available.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FR-006</w:t>
            </w:r>
          </w:p>
        </w:tc>
        <w:tc>
          <w:tcPr>
            <w:tcW w:type="dxa" w:w="2520"/>
            <w:vAlign w:val="top"/>
          </w:tcPr>
          <w:p>
            <w:r>
              <w:t>Retrieval</w:t>
            </w:r>
          </w:p>
        </w:tc>
        <w:tc>
          <w:tcPr>
            <w:tcW w:type="dxa" w:w="2520"/>
            <w:vAlign w:val="top"/>
          </w:tcPr>
          <w:p>
            <w:r>
              <w:t>Retrieve only from authorized case/knowledge scopes and return evidence references.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FR-007</w:t>
            </w:r>
          </w:p>
        </w:tc>
        <w:tc>
          <w:tcPr>
            <w:tcW w:type="dxa" w:w="2520"/>
            <w:vAlign w:val="top"/>
          </w:tcPr>
          <w:p>
            <w:r>
              <w:t>Structured extraction</w:t>
            </w:r>
          </w:p>
        </w:tc>
        <w:tc>
          <w:tcPr>
            <w:tcW w:type="dxa" w:w="2520"/>
            <w:vAlign w:val="top"/>
          </w:tcPr>
          <w:p>
            <w:r>
              <w:t>Return validated schemas for defined company/financial fields; preserve null/unknown values.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FR-008</w:t>
            </w:r>
          </w:p>
        </w:tc>
        <w:tc>
          <w:tcPr>
            <w:tcW w:type="dxa" w:w="2520"/>
            <w:vAlign w:val="top"/>
          </w:tcPr>
          <w:p>
            <w:r>
              <w:t>Research summary</w:t>
            </w:r>
          </w:p>
        </w:tc>
        <w:tc>
          <w:tcPr>
            <w:tcW w:type="dxa" w:w="2520"/>
            <w:vAlign w:val="top"/>
          </w:tcPr>
          <w:p>
            <w:r>
              <w:t>Generate company/context summary grounded in approved evidence.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FR-009</w:t>
            </w:r>
          </w:p>
        </w:tc>
        <w:tc>
          <w:tcPr>
            <w:tcW w:type="dxa" w:w="2520"/>
            <w:vAlign w:val="top"/>
          </w:tcPr>
          <w:p>
            <w:r>
              <w:t>Risk signals</w:t>
            </w:r>
          </w:p>
        </w:tc>
        <w:tc>
          <w:tcPr>
            <w:tcW w:type="dxa" w:w="2520"/>
            <w:vAlign w:val="top"/>
          </w:tcPr>
          <w:p>
            <w:r>
              <w:t>Identify configurable risk signals with evidence and rule/model provenance.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FR-010</w:t>
            </w:r>
          </w:p>
        </w:tc>
        <w:tc>
          <w:tcPr>
            <w:tcW w:type="dxa" w:w="2520"/>
            <w:vAlign w:val="top"/>
          </w:tcPr>
          <w:p>
            <w:r>
              <w:t>Missing/conflicting info</w:t>
            </w:r>
          </w:p>
        </w:tc>
        <w:tc>
          <w:tcPr>
            <w:tcW w:type="dxa" w:w="2520"/>
            <w:vAlign w:val="top"/>
          </w:tcPr>
          <w:p>
            <w:r>
              <w:t>Flag missing required fields and conflicting evidence.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FR-011</w:t>
            </w:r>
          </w:p>
        </w:tc>
        <w:tc>
          <w:tcPr>
            <w:tcW w:type="dxa" w:w="2520"/>
            <w:vAlign w:val="top"/>
          </w:tcPr>
          <w:p>
            <w:r>
              <w:t>Memo draft</w:t>
            </w:r>
          </w:p>
        </w:tc>
        <w:tc>
          <w:tcPr>
            <w:tcW w:type="dxa" w:w="2520"/>
            <w:vAlign w:val="top"/>
          </w:tcPr>
          <w:p>
            <w:r>
              <w:t>Generate a structured preliminary memo with sections, citations and uncertainty.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FR-012</w:t>
            </w:r>
          </w:p>
        </w:tc>
        <w:tc>
          <w:tcPr>
            <w:tcW w:type="dxa" w:w="2520"/>
            <w:vAlign w:val="top"/>
          </w:tcPr>
          <w:p>
            <w:r>
              <w:t>Human editing</w:t>
            </w:r>
          </w:p>
        </w:tc>
        <w:tc>
          <w:tcPr>
            <w:tcW w:type="dxa" w:w="2520"/>
            <w:vAlign w:val="top"/>
          </w:tcPr>
          <w:p>
            <w:r>
              <w:t>Allow user edits, acceptance/rejection and comments without overwriting original AI version.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FR-013</w:t>
            </w:r>
          </w:p>
        </w:tc>
        <w:tc>
          <w:tcPr>
            <w:tcW w:type="dxa" w:w="2520"/>
            <w:vAlign w:val="top"/>
          </w:tcPr>
          <w:p>
            <w:r>
              <w:t>Audit</w:t>
            </w:r>
          </w:p>
        </w:tc>
        <w:tc>
          <w:tcPr>
            <w:tcW w:type="dxa" w:w="2520"/>
            <w:vAlign w:val="top"/>
          </w:tcPr>
          <w:p>
            <w:r>
              <w:t>Record user actions, model/provider, model version, prompt/config version, tool calls, source IDs and output IDs.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</w:tr>
      <w:tr>
        <w:tc>
          <w:tcPr>
            <w:tcW w:type="dxa" w:w="2520"/>
            <w:vAlign w:val="top"/>
          </w:tcPr>
          <w:p>
            <w:r>
              <w:t>FR-014</w:t>
            </w:r>
          </w:p>
        </w:tc>
        <w:tc>
          <w:tcPr>
            <w:tcW w:type="dxa" w:w="2520"/>
            <w:vAlign w:val="top"/>
          </w:tcPr>
          <w:p>
            <w:r>
              <w:t>Feedback</w:t>
            </w:r>
          </w:p>
        </w:tc>
        <w:tc>
          <w:tcPr>
            <w:tcW w:type="dxa" w:w="2520"/>
            <w:vAlign w:val="top"/>
          </w:tcPr>
          <w:p>
            <w:r>
              <w:t>Capture incorrect/unsupported/unsafe flags and optional reason.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</w:tr>
      <w:tr>
        <w:tc>
          <w:tcPr>
            <w:tcW w:type="dxa" w:w="2520"/>
            <w:vAlign w:val="top"/>
          </w:tcPr>
          <w:p>
            <w:r>
              <w:t>FR-015</w:t>
            </w:r>
          </w:p>
        </w:tc>
        <w:tc>
          <w:tcPr>
            <w:tcW w:type="dxa" w:w="2520"/>
            <w:vAlign w:val="top"/>
          </w:tcPr>
          <w:p>
            <w:r>
              <w:t>Admin</w:t>
            </w:r>
          </w:p>
        </w:tc>
        <w:tc>
          <w:tcPr>
            <w:tcW w:type="dxa" w:w="2520"/>
            <w:vAlign w:val="top"/>
          </w:tcPr>
          <w:p>
            <w:r>
              <w:t>Manage feature flags, source allowlists, approved model/config versions and pilot groups.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</w:tr>
      <w:tr>
        <w:tc>
          <w:tcPr>
            <w:tcW w:type="dxa" w:w="2520"/>
            <w:vAlign w:val="top"/>
          </w:tcPr>
          <w:p>
            <w:r>
              <w:t>FR-016</w:t>
            </w:r>
          </w:p>
        </w:tc>
        <w:tc>
          <w:tcPr>
            <w:tcW w:type="dxa" w:w="2520"/>
            <w:vAlign w:val="top"/>
          </w:tcPr>
          <w:p>
            <w:r>
              <w:t>Export</w:t>
            </w:r>
          </w:p>
        </w:tc>
        <w:tc>
          <w:tcPr>
            <w:tcW w:type="dxa" w:w="2520"/>
            <w:vAlign w:val="top"/>
          </w:tcPr>
          <w:p>
            <w:r>
              <w:t>Export approved research pack/memo with source references subject to policy.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</w:tr>
    </w:tbl>
    <w:p>
      <w:pPr>
        <w:pStyle w:val="Heading1"/>
      </w:pPr>
      <w:r>
        <w:t>5. AI-specific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AI-01</w:t>
            </w:r>
          </w:p>
        </w:tc>
        <w:tc>
          <w:tcPr>
            <w:tcW w:type="dxa" w:w="3360"/>
            <w:vAlign w:val="top"/>
          </w:tcPr>
          <w:p>
            <w:r>
              <w:t>Grounding</w:t>
            </w:r>
          </w:p>
        </w:tc>
        <w:tc>
          <w:tcPr>
            <w:tcW w:type="dxa" w:w="3360"/>
            <w:vAlign w:val="top"/>
          </w:tcPr>
          <w:p>
            <w:r>
              <w:t>Material factual claims generated from retrieved sources must carry a machine-linked evidence reference.</w:t>
            </w:r>
          </w:p>
        </w:tc>
      </w:tr>
      <w:tr>
        <w:tc>
          <w:tcPr>
            <w:tcW w:type="dxa" w:w="3360"/>
            <w:vAlign w:val="top"/>
          </w:tcPr>
          <w:p>
            <w:r>
              <w:t>AI-02</w:t>
            </w:r>
          </w:p>
        </w:tc>
        <w:tc>
          <w:tcPr>
            <w:tcW w:type="dxa" w:w="3360"/>
            <w:vAlign w:val="top"/>
          </w:tcPr>
          <w:p>
            <w:r>
              <w:t>Abstention</w:t>
            </w:r>
          </w:p>
        </w:tc>
        <w:tc>
          <w:tcPr>
            <w:tcW w:type="dxa" w:w="3360"/>
            <w:vAlign w:val="top"/>
          </w:tcPr>
          <w:p>
            <w:r>
              <w:t>When evidence is insufficient, the system must say so rather than fabricate a value or conclusion.</w:t>
            </w:r>
          </w:p>
        </w:tc>
      </w:tr>
      <w:tr>
        <w:tc>
          <w:tcPr>
            <w:tcW w:type="dxa" w:w="3360"/>
            <w:vAlign w:val="top"/>
          </w:tcPr>
          <w:p>
            <w:r>
              <w:t>AI-03</w:t>
            </w:r>
          </w:p>
        </w:tc>
        <w:tc>
          <w:tcPr>
            <w:tcW w:type="dxa" w:w="3360"/>
            <w:vAlign w:val="top"/>
          </w:tcPr>
          <w:p>
            <w:r>
              <w:t>Instruction hierarchy</w:t>
            </w:r>
          </w:p>
        </w:tc>
        <w:tc>
          <w:tcPr>
            <w:tcW w:type="dxa" w:w="3360"/>
            <w:vAlign w:val="top"/>
          </w:tcPr>
          <w:p>
            <w:r>
              <w:t>System/developer policy must be isolated from untrusted document/web content; retrieved content is data, not instructions.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AI-04</w:t>
            </w:r>
          </w:p>
        </w:tc>
        <w:tc>
          <w:tcPr>
            <w:tcW w:type="dxa" w:w="3360"/>
            <w:vAlign w:val="top"/>
          </w:tcPr>
          <w:p>
            <w:r>
              <w:t>Structured output</w:t>
            </w:r>
          </w:p>
        </w:tc>
        <w:tc>
          <w:tcPr>
            <w:tcW w:type="dxa" w:w="3360"/>
            <w:vAlign w:val="top"/>
          </w:tcPr>
          <w:p>
            <w:r>
              <w:t>Machine-consumed model outputs must use validated schemas; invalid outputs are rejected/retried safely.</w:t>
            </w:r>
          </w:p>
        </w:tc>
      </w:tr>
      <w:tr>
        <w:tc>
          <w:tcPr>
            <w:tcW w:type="dxa" w:w="3360"/>
            <w:vAlign w:val="top"/>
          </w:tcPr>
          <w:p>
            <w:r>
              <w:t>AI-05</w:t>
            </w:r>
          </w:p>
        </w:tc>
        <w:tc>
          <w:tcPr>
            <w:tcW w:type="dxa" w:w="3360"/>
            <w:vAlign w:val="top"/>
          </w:tcPr>
          <w:p>
            <w:r>
              <w:t>Prompt/model versioning</w:t>
            </w:r>
          </w:p>
        </w:tc>
        <w:tc>
          <w:tcPr>
            <w:tcW w:type="dxa" w:w="3360"/>
            <w:vAlign w:val="top"/>
          </w:tcPr>
          <w:p>
            <w:r>
              <w:t>Prompts, retrieval settings, model/provider and evaluation version must be identifiable for each material output.</w:t>
            </w:r>
          </w:p>
        </w:tc>
      </w:tr>
      <w:tr>
        <w:tc>
          <w:tcPr>
            <w:tcW w:type="dxa" w:w="3360"/>
            <w:vAlign w:val="top"/>
          </w:tcPr>
          <w:p>
            <w:r>
              <w:t>AI-06</w:t>
            </w:r>
          </w:p>
        </w:tc>
        <w:tc>
          <w:tcPr>
            <w:tcW w:type="dxa" w:w="3360"/>
            <w:vAlign w:val="top"/>
          </w:tcPr>
          <w:p>
            <w:r>
              <w:t>Tool permissions</w:t>
            </w:r>
          </w:p>
        </w:tc>
        <w:tc>
          <w:tcPr>
            <w:tcW w:type="dxa" w:w="3360"/>
            <w:vAlign w:val="top"/>
          </w:tcPr>
          <w:p>
            <w:r>
              <w:t>Tools are allowlisted, least-privileged and scoped; destructive/binding actions require explicit human approval or are unavailable.</w:t>
            </w:r>
          </w:p>
        </w:tc>
      </w:tr>
      <w:tr>
        <w:tc>
          <w:tcPr>
            <w:tcW w:type="dxa" w:w="3360"/>
            <w:vAlign w:val="top"/>
          </w:tcPr>
          <w:p>
            <w:r>
              <w:t>AI-07</w:t>
            </w:r>
          </w:p>
        </w:tc>
        <w:tc>
          <w:tcPr>
            <w:tcW w:type="dxa" w:w="3360"/>
            <w:vAlign w:val="top"/>
          </w:tcPr>
          <w:p>
            <w:r>
              <w:t>Regression evals</w:t>
            </w:r>
          </w:p>
        </w:tc>
        <w:tc>
          <w:tcPr>
            <w:tcW w:type="dxa" w:w="3360"/>
            <w:vAlign w:val="top"/>
          </w:tcPr>
          <w:p>
            <w:r>
              <w:t>Material prompt/model/retrieval changes cannot release without passing the approved evaluation suite.</w:t>
            </w:r>
          </w:p>
        </w:tc>
      </w:tr>
      <w:tr>
        <w:tc>
          <w:tcPr>
            <w:tcW w:type="dxa" w:w="3360"/>
            <w:vAlign w:val="top"/>
          </w:tcPr>
          <w:p>
            <w:r>
              <w:t>AI-08</w:t>
            </w:r>
          </w:p>
        </w:tc>
        <w:tc>
          <w:tcPr>
            <w:tcW w:type="dxa" w:w="3360"/>
            <w:vAlign w:val="top"/>
          </w:tcPr>
          <w:p>
            <w:r>
              <w:t>Fallback</w:t>
            </w:r>
          </w:p>
        </w:tc>
        <w:tc>
          <w:tcPr>
            <w:tcW w:type="dxa" w:w="3360"/>
            <w:vAlign w:val="top"/>
          </w:tcPr>
          <w:p>
            <w:r>
              <w:t>Model/provider failure must produce a safe user-visible failure or approved fallback, never silent degradation.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AI-09</w:t>
            </w:r>
          </w:p>
        </w:tc>
        <w:tc>
          <w:tcPr>
            <w:tcW w:type="dxa" w:w="3360"/>
            <w:vAlign w:val="top"/>
          </w:tcPr>
          <w:p>
            <w:r>
              <w:t>Data boundary</w:t>
            </w:r>
          </w:p>
        </w:tc>
        <w:tc>
          <w:tcPr>
            <w:tcW w:type="dxa" w:w="3360"/>
            <w:vAlign w:val="top"/>
          </w:tcPr>
          <w:p>
            <w:r>
              <w:t>No training/fine-tuning or provider retention of enterprise data unless explicitly approved by contract/policy.</w:t>
            </w:r>
          </w:p>
        </w:tc>
      </w:tr>
      <w:tr>
        <w:tc>
          <w:tcPr>
            <w:tcW w:type="dxa" w:w="3360"/>
            <w:vAlign w:val="top"/>
          </w:tcPr>
          <w:p>
            <w:r>
              <w:t>AI-10</w:t>
            </w:r>
          </w:p>
        </w:tc>
        <w:tc>
          <w:tcPr>
            <w:tcW w:type="dxa" w:w="3360"/>
            <w:vAlign w:val="top"/>
          </w:tcPr>
          <w:p>
            <w:r>
              <w:t>Deterministic math</w:t>
            </w:r>
          </w:p>
        </w:tc>
        <w:tc>
          <w:tcPr>
            <w:tcW w:type="dxa" w:w="3360"/>
            <w:vAlign w:val="top"/>
          </w:tcPr>
          <w:p>
            <w:r>
              <w:t>Financial ratios/calculations should be computed by tested code from validated inputs, not trusted solely to free-form LLM arithmetic.</w:t>
            </w:r>
          </w:p>
        </w:tc>
      </w:tr>
    </w:tbl>
    <w:p>
      <w:pPr>
        <w:pStyle w:val="Heading1"/>
      </w:pPr>
      <w:r>
        <w:t>6.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SEC-01</w:t>
            </w:r>
          </w:p>
        </w:tc>
        <w:tc>
          <w:tcPr>
            <w:tcW w:type="dxa" w:w="3360"/>
            <w:vAlign w:val="top"/>
          </w:tcPr>
          <w:p>
            <w:r>
              <w:t>Threat model</w:t>
            </w:r>
          </w:p>
        </w:tc>
        <w:tc>
          <w:tcPr>
            <w:tcW w:type="dxa" w:w="3360"/>
            <w:vAlign w:val="top"/>
          </w:tcPr>
          <w:p>
            <w:r>
              <w:t>Maintain a threat model covering users, APIs, data stores, model endpoints, retrieval, tools and CI/CD.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SEC-02</w:t>
            </w:r>
          </w:p>
        </w:tc>
        <w:tc>
          <w:tcPr>
            <w:tcW w:type="dxa" w:w="3360"/>
            <w:vAlign w:val="top"/>
          </w:tcPr>
          <w:p>
            <w:r>
              <w:t>Secrets</w:t>
            </w:r>
          </w:p>
        </w:tc>
        <w:tc>
          <w:tcPr>
            <w:tcW w:type="dxa" w:w="3360"/>
            <w:vAlign w:val="top"/>
          </w:tcPr>
          <w:p>
            <w:r>
              <w:t>Store secrets in managed secret storage; block secrets from commits; rotate on exposure.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SEC-03</w:t>
            </w:r>
          </w:p>
        </w:tc>
        <w:tc>
          <w:tcPr>
            <w:tcW w:type="dxa" w:w="3360"/>
            <w:vAlign w:val="top"/>
          </w:tcPr>
          <w:p>
            <w:r>
              <w:t>Encryption</w:t>
            </w:r>
          </w:p>
        </w:tc>
        <w:tc>
          <w:tcPr>
            <w:tcW w:type="dxa" w:w="3360"/>
            <w:vAlign w:val="top"/>
          </w:tcPr>
          <w:p>
            <w:r>
              <w:t>TLS in transit and approved encryption at rest.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SEC-04</w:t>
            </w:r>
          </w:p>
        </w:tc>
        <w:tc>
          <w:tcPr>
            <w:tcW w:type="dxa" w:w="3360"/>
            <w:vAlign w:val="top"/>
          </w:tcPr>
          <w:p>
            <w:r>
              <w:t>Least privilege</w:t>
            </w:r>
          </w:p>
        </w:tc>
        <w:tc>
          <w:tcPr>
            <w:tcW w:type="dxa" w:w="3360"/>
            <w:vAlign w:val="top"/>
          </w:tcPr>
          <w:p>
            <w:r>
              <w:t>Separate user, service and deployment identities; minimum permissions.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SEC-05</w:t>
            </w:r>
          </w:p>
        </w:tc>
        <w:tc>
          <w:tcPr>
            <w:tcW w:type="dxa" w:w="3360"/>
            <w:vAlign w:val="top"/>
          </w:tcPr>
          <w:p>
            <w:r>
              <w:t>Secure SDLC</w:t>
            </w:r>
          </w:p>
        </w:tc>
        <w:tc>
          <w:tcPr>
            <w:tcW w:type="dxa" w:w="3360"/>
            <w:vAlign w:val="top"/>
          </w:tcPr>
          <w:p>
            <w:r>
              <w:t>SAST, dependency, secret, IaC/container scanning as applicable; remediation SLA by severity.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SEC-06</w:t>
            </w:r>
          </w:p>
        </w:tc>
        <w:tc>
          <w:tcPr>
            <w:tcW w:type="dxa" w:w="3360"/>
            <w:vAlign w:val="top"/>
          </w:tcPr>
          <w:p>
            <w:r>
              <w:t>Supply chain</w:t>
            </w:r>
          </w:p>
        </w:tc>
        <w:tc>
          <w:tcPr>
            <w:tcW w:type="dxa" w:w="3360"/>
            <w:vAlign w:val="top"/>
          </w:tcPr>
          <w:p>
            <w:r>
              <w:t>Lock dependencies, review high-risk packages, generate/retain dependency inventory/SBOM where required.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SEC-07</w:t>
            </w:r>
          </w:p>
        </w:tc>
        <w:tc>
          <w:tcPr>
            <w:tcW w:type="dxa" w:w="3360"/>
            <w:vAlign w:val="top"/>
          </w:tcPr>
          <w:p>
            <w:r>
              <w:t>Prompt injection</w:t>
            </w:r>
          </w:p>
        </w:tc>
        <w:tc>
          <w:tcPr>
            <w:tcW w:type="dxa" w:w="3360"/>
            <w:vAlign w:val="top"/>
          </w:tcPr>
          <w:p>
            <w:r>
              <w:t>Adversarial tests, content/instruction separation, tool allowlists, URL/source controls and output validation.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SEC-08</w:t>
            </w:r>
          </w:p>
        </w:tc>
        <w:tc>
          <w:tcPr>
            <w:tcW w:type="dxa" w:w="3360"/>
            <w:vAlign w:val="top"/>
          </w:tcPr>
          <w:p>
            <w:r>
              <w:t>Logging</w:t>
            </w:r>
          </w:p>
        </w:tc>
        <w:tc>
          <w:tcPr>
            <w:tcW w:type="dxa" w:w="3360"/>
            <w:vAlign w:val="top"/>
          </w:tcPr>
          <w:p>
            <w:r>
              <w:t>Security-relevant events go to centrally protected logs without unnecessarily logging sensitive prompt/data content.</w:t>
            </w:r>
          </w:p>
        </w:tc>
      </w:tr>
      <w:tr>
        <w:tc>
          <w:tcPr>
            <w:tcW w:type="dxa" w:w="3360"/>
            <w:vAlign w:val="top"/>
          </w:tcPr>
          <w:p>
            <w:r>
              <w:t>SEC-09</w:t>
            </w:r>
          </w:p>
        </w:tc>
        <w:tc>
          <w:tcPr>
            <w:tcW w:type="dxa" w:w="3360"/>
            <w:vAlign w:val="top"/>
          </w:tcPr>
          <w:p>
            <w:r>
              <w:t>Rate/abuse</w:t>
            </w:r>
          </w:p>
        </w:tc>
        <w:tc>
          <w:tcPr>
            <w:tcW w:type="dxa" w:w="3360"/>
            <w:vAlign w:val="top"/>
          </w:tcPr>
          <w:p>
            <w:r>
              <w:t>Rate limits, quotas and anomalous-usage monitoring.</w:t>
            </w:r>
          </w:p>
        </w:tc>
      </w:tr>
      <w:tr>
        <w:tc>
          <w:tcPr>
            <w:tcW w:type="dxa" w:w="3360"/>
            <w:vAlign w:val="top"/>
          </w:tcPr>
          <w:p>
            <w:r>
              <w:t>SEC-10</w:t>
            </w:r>
          </w:p>
        </w:tc>
        <w:tc>
          <w:tcPr>
            <w:tcW w:type="dxa" w:w="3360"/>
            <w:vAlign w:val="top"/>
          </w:tcPr>
          <w:p>
            <w:r>
              <w:t>Incident response</w:t>
            </w:r>
          </w:p>
        </w:tc>
        <w:tc>
          <w:tcPr>
            <w:tcW w:type="dxa" w:w="3360"/>
            <w:vAlign w:val="top"/>
          </w:tcPr>
          <w:p>
            <w:r>
              <w:t>Documented detection, containment, credential rotation, rollback and notification process.</w:t>
            </w:r>
          </w:p>
        </w:tc>
      </w:tr>
    </w:tbl>
    <w:p>
      <w:pPr>
        <w:pStyle w:val="Heading1"/>
      </w:pPr>
      <w:r>
        <w:t>7. Git, branch and environment protection</w:t>
      </w:r>
    </w:p>
    <w:p>
      <w:r>
        <w:t>Recommended repository flow: feature/* → pull request → main → staging deployment → approved production promotion.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main</w:t>
            </w:r>
          </w:p>
        </w:tc>
        <w:tc>
          <w:tcPr>
            <w:tcW w:type="dxa" w:w="3360"/>
            <w:shd w:fill="17365D"/>
            <w:vAlign w:val="center"/>
          </w:tcPr>
          <w:p>
            <w:r>
              <w:rPr>
                <w:b/>
                <w:color w:val="FFFFFF"/>
              </w:rPr>
              <w:t>staging / production</w:t>
            </w:r>
          </w:p>
        </w:tc>
      </w:tr>
      <w:tr>
        <w:tc>
          <w:tcPr>
            <w:tcW w:type="dxa" w:w="3360"/>
            <w:vAlign w:val="top"/>
          </w:tcPr>
          <w:p>
            <w:r>
              <w:t>Direct push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No direct manual code deployment</w:t>
            </w:r>
          </w:p>
        </w:tc>
      </w:tr>
      <w:tr>
        <w:tc>
          <w:tcPr>
            <w:tcW w:type="dxa" w:w="3360"/>
            <w:vAlign w:val="top"/>
          </w:tcPr>
          <w:p>
            <w:r>
              <w:t>Pull request</w:t>
            </w:r>
          </w:p>
        </w:tc>
        <w:tc>
          <w:tcPr>
            <w:tcW w:type="dxa" w:w="3360"/>
            <w:vAlign w:val="top"/>
          </w:tcPr>
          <w:p>
            <w:r>
              <w:t>Required</w:t>
            </w:r>
          </w:p>
        </w:tc>
        <w:tc>
          <w:tcPr>
            <w:tcW w:type="dxa" w:w="3360"/>
            <w:vAlign w:val="top"/>
          </w:tcPr>
          <w:p>
            <w:r>
              <w:t>Production artifact must originate from approved commit</w:t>
            </w:r>
          </w:p>
        </w:tc>
      </w:tr>
      <w:tr>
        <w:tc>
          <w:tcPr>
            <w:tcW w:type="dxa" w:w="3360"/>
            <w:vAlign w:val="top"/>
          </w:tcPr>
          <w:p>
            <w:r>
              <w:t>Reviews</w:t>
            </w:r>
          </w:p>
        </w:tc>
        <w:tc>
          <w:tcPr>
            <w:tcW w:type="dxa" w:w="3360"/>
            <w:vAlign w:val="top"/>
          </w:tcPr>
          <w:p>
            <w:r>
              <w:t>At least 1; 2/code-owner approval for sensitive areas</w:t>
            </w:r>
          </w:p>
        </w:tc>
        <w:tc>
          <w:tcPr>
            <w:tcW w:type="dxa" w:w="3360"/>
            <w:vAlign w:val="top"/>
          </w:tcPr>
          <w:p>
            <w:r>
              <w:t>Release/UAT approval; production separation of duties</w:t>
            </w:r>
          </w:p>
        </w:tc>
      </w:tr>
      <w:tr>
        <w:tc>
          <w:tcPr>
            <w:tcW w:type="dxa" w:w="3360"/>
            <w:vAlign w:val="top"/>
          </w:tcPr>
          <w:p>
            <w:r>
              <w:t>Required checks</w:t>
            </w:r>
          </w:p>
        </w:tc>
        <w:tc>
          <w:tcPr>
            <w:tcW w:type="dxa" w:w="3360"/>
            <w:vAlign w:val="top"/>
          </w:tcPr>
          <w:p>
            <w:r>
              <w:t>Build, lint/type, tests, security scans, AI eval regression as applicable</w:t>
            </w:r>
          </w:p>
        </w:tc>
        <w:tc>
          <w:tcPr>
            <w:tcW w:type="dxa" w:w="3360"/>
            <w:vAlign w:val="top"/>
          </w:tcPr>
          <w:p>
            <w:r>
              <w:t>Integration/E2E/security/performance/UAT gates</w:t>
            </w:r>
          </w:p>
        </w:tc>
      </w:tr>
      <w:tr>
        <w:tc>
          <w:tcPr>
            <w:tcW w:type="dxa" w:w="3360"/>
            <w:vAlign w:val="top"/>
          </w:tcPr>
          <w:p>
            <w:r>
              <w:t>Stale approvals</w:t>
            </w:r>
          </w:p>
        </w:tc>
        <w:tc>
          <w:tcPr>
            <w:tcW w:type="dxa" w:w="3360"/>
            <w:vAlign w:val="top"/>
          </w:tcPr>
          <w:p>
            <w:r>
              <w:t>Dismiss or require approval after latest push</w:t>
            </w:r>
          </w:p>
        </w:tc>
        <w:tc>
          <w:tcPr>
            <w:tcW w:type="dxa" w:w="3360"/>
            <w:vAlign w:val="top"/>
          </w:tcPr>
          <w:p>
            <w:r>
              <w:t>Re-approval after material release-candidate change</w:t>
            </w:r>
          </w:p>
        </w:tc>
      </w:tr>
      <w:tr>
        <w:tc>
          <w:tcPr>
            <w:tcW w:type="dxa" w:w="3360"/>
            <w:vAlign w:val="top"/>
          </w:tcPr>
          <w:p>
            <w:r>
              <w:t>Force push/delete</w:t>
            </w:r>
          </w:p>
        </w:tc>
        <w:tc>
          <w:tcPr>
            <w:tcW w:type="dxa" w:w="3360"/>
            <w:vAlign w:val="top"/>
          </w:tcPr>
          <w:p>
            <w:r>
              <w:t>Blocked</w:t>
            </w:r>
          </w:p>
        </w:tc>
        <w:tc>
          <w:tcPr>
            <w:tcW w:type="dxa" w:w="3360"/>
            <w:vAlign w:val="top"/>
          </w:tcPr>
          <w:p>
            <w:r>
              <w:t>N/A; environment access restricted</w:t>
            </w:r>
          </w:p>
        </w:tc>
      </w:tr>
      <w:tr>
        <w:tc>
          <w:tcPr>
            <w:tcW w:type="dxa" w:w="3360"/>
            <w:vAlign w:val="top"/>
          </w:tcPr>
          <w:p>
            <w:r>
              <w:t>Bypass</w:t>
            </w:r>
          </w:p>
        </w:tc>
        <w:tc>
          <w:tcPr>
            <w:tcW w:type="dxa" w:w="3360"/>
            <w:vAlign w:val="top"/>
          </w:tcPr>
          <w:p>
            <w:r>
              <w:t>Disabled or tightly restricted and audited</w:t>
            </w:r>
          </w:p>
        </w:tc>
        <w:tc>
          <w:tcPr>
            <w:tcW w:type="dxa" w:w="3360"/>
            <w:vAlign w:val="top"/>
          </w:tcPr>
          <w:p>
            <w:r>
              <w:t>Break-glass only, documented and reviewed</w:t>
            </w:r>
          </w:p>
        </w:tc>
      </w:tr>
      <w:tr>
        <w:tc>
          <w:tcPr>
            <w:tcW w:type="dxa" w:w="3360"/>
            <w:vAlign w:val="top"/>
          </w:tcPr>
          <w:p>
            <w:r>
              <w:t>Deployment</w:t>
            </w:r>
          </w:p>
        </w:tc>
        <w:tc>
          <w:tcPr>
            <w:tcW w:type="dxa" w:w="3360"/>
            <w:vAlign w:val="top"/>
          </w:tcPr>
          <w:p>
            <w:r>
              <w:t>Automatic to dev; controlled to staging</w:t>
            </w:r>
          </w:p>
        </w:tc>
        <w:tc>
          <w:tcPr>
            <w:tcW w:type="dxa" w:w="3360"/>
            <w:vAlign w:val="top"/>
          </w:tcPr>
          <w:p>
            <w:r>
              <w:t>Immutable artifact promotion; explicit production approval</w:t>
            </w:r>
          </w:p>
        </w:tc>
      </w:tr>
    </w:tbl>
    <w:p>
      <w:pPr>
        <w:pStyle w:val="Heading1"/>
      </w:pPr>
      <w:r>
        <w:t>8. Test and release requirements</w:t>
      </w:r>
    </w:p>
    <w:p>
      <w:pPr>
        <w:pStyle w:val="ListBullet"/>
      </w:pPr>
      <w:r>
        <w:t>Definition of Done for every feature: acceptance criteria met; tests added/passing; security impact reviewed; telemetry added; documentation updated; no unresolved critical/high defects.</w:t>
      </w:r>
    </w:p>
    <w:p>
      <w:pPr>
        <w:pStyle w:val="ListBullet"/>
      </w:pPr>
      <w:r>
        <w:t>PR gate: lint/type/build + unit + contract/integration subset + secret/dependency/SAST scans + relevant AI eval subset.</w:t>
      </w:r>
    </w:p>
    <w:p>
      <w:pPr>
        <w:pStyle w:val="ListBullet"/>
      </w:pPr>
      <w:r>
        <w:t>Staging gate: full integration/E2E + migration tests + AI regression suite + security checks + UAT on release candidate.</w:t>
      </w:r>
    </w:p>
    <w:p>
      <w:pPr>
        <w:pStyle w:val="ListBullet"/>
      </w:pPr>
      <w:r>
        <w:t>Production gate: approved release record, known-risk review, rollback verified, monitoring/dashboard ready, on-call/support owner identified.</w:t>
      </w:r>
    </w:p>
    <w:p>
      <w:pPr>
        <w:pStyle w:val="ListBullet"/>
      </w:pPr>
      <w:r>
        <w:t>Post-release: smoke tests, error/latency/cost monitoring, model-quality sampling and rollback/feature-flag capability.</w:t>
      </w:r>
    </w:p>
    <w:p>
      <w:pPr>
        <w:pStyle w:val="Heading1"/>
      </w:pPr>
      <w:r>
        <w:t>9. AI evaluation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Example measure</w:t>
            </w:r>
          </w:p>
        </w:tc>
      </w:tr>
      <w:tr>
        <w:tc>
          <w:tcPr>
            <w:tcW w:type="dxa" w:w="5040"/>
            <w:vAlign w:val="top"/>
          </w:tcPr>
          <w:p>
            <w:r>
              <w:t>Citation validity</w:t>
            </w:r>
          </w:p>
        </w:tc>
        <w:tc>
          <w:tcPr>
            <w:tcW w:type="dxa" w:w="5040"/>
            <w:vAlign w:val="top"/>
          </w:tcPr>
          <w:p>
            <w:r>
              <w:t>Evidence link resolves to the correct authorized source.</w:t>
            </w:r>
          </w:p>
        </w:tc>
      </w:tr>
      <w:tr>
        <w:tc>
          <w:tcPr>
            <w:tcW w:type="dxa" w:w="5040"/>
            <w:vAlign w:val="top"/>
          </w:tcPr>
          <w:p>
            <w:r>
              <w:t>Citation entailment</w:t>
            </w:r>
          </w:p>
        </w:tc>
        <w:tc>
          <w:tcPr>
            <w:tcW w:type="dxa" w:w="5040"/>
            <w:vAlign w:val="top"/>
          </w:tcPr>
          <w:p>
            <w:r>
              <w:t>Cited evidence actually supports the generated claim.</w:t>
            </w:r>
          </w:p>
        </w:tc>
      </w:tr>
      <w:tr>
        <w:tc>
          <w:tcPr>
            <w:tcW w:type="dxa" w:w="5040"/>
            <w:vAlign w:val="top"/>
          </w:tcPr>
          <w:p>
            <w:r>
              <w:t>Groundedness</w:t>
            </w:r>
          </w:p>
        </w:tc>
        <w:tc>
          <w:tcPr>
            <w:tcW w:type="dxa" w:w="5040"/>
            <w:vAlign w:val="top"/>
          </w:tcPr>
          <w:p>
            <w:r>
              <w:t>No material unsupported factual assertions.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Extraction accuracy</w:t>
            </w:r>
          </w:p>
        </w:tc>
        <w:tc>
          <w:tcPr>
            <w:tcW w:type="dxa" w:w="5040"/>
            <w:vAlign w:val="top"/>
          </w:tcPr>
          <w:p>
            <w:r>
              <w:t>Exact/normalized field accuracy against labeled examples.</w:t>
            </w:r>
          </w:p>
        </w:tc>
      </w:tr>
      <w:tr>
        <w:tc>
          <w:tcPr>
            <w:tcW w:type="dxa" w:w="5040"/>
            <w:vAlign w:val="top"/>
          </w:tcPr>
          <w:p>
            <w:r>
              <w:t>Completeness</w:t>
            </w:r>
          </w:p>
        </w:tc>
        <w:tc>
          <w:tcPr>
            <w:tcW w:type="dxa" w:w="5040"/>
            <w:vAlign w:val="top"/>
          </w:tcPr>
          <w:p>
            <w:r>
              <w:t>Required memo sections and required fields are present or explicitly marked missing.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Contradiction handling</w:t>
            </w:r>
          </w:p>
        </w:tc>
        <w:tc>
          <w:tcPr>
            <w:tcW w:type="dxa" w:w="5040"/>
            <w:vAlign w:val="top"/>
          </w:tcPr>
          <w:p>
            <w:r>
              <w:t>Conflicts are surfaced instead of silently choosing one source.</w:t>
            </w:r>
          </w:p>
        </w:tc>
      </w:tr>
      <w:tr>
        <w:tc>
          <w:tcPr>
            <w:tcW w:type="dxa" w:w="5040"/>
            <w:vAlign w:val="top"/>
          </w:tcPr>
          <w:p>
            <w:r>
              <w:t>Uncertainty</w:t>
            </w:r>
          </w:p>
        </w:tc>
        <w:tc>
          <w:tcPr>
            <w:tcW w:type="dxa" w:w="5040"/>
            <w:vAlign w:val="top"/>
          </w:tcPr>
          <w:p>
            <w:r>
              <w:t>System abstains/qualifies when evidence is insufficient.</w:t>
            </w:r>
          </w:p>
        </w:tc>
      </w:tr>
      <w:tr>
        <w:tc>
          <w:tcPr>
            <w:tcW w:type="dxa" w:w="5040"/>
            <w:vAlign w:val="top"/>
          </w:tcPr>
          <w:p>
            <w:r>
              <w:t>Prompt-injection resilience</w:t>
            </w:r>
          </w:p>
        </w:tc>
        <w:tc>
          <w:tcPr>
            <w:tcW w:type="dxa" w:w="5040"/>
            <w:vAlign w:val="top"/>
          </w:tcPr>
          <w:p>
            <w:r>
              <w:t>Malicious instructions in documents/web content do not override system policy or gain unauthorized tool use.</w:t>
            </w:r>
          </w:p>
        </w:tc>
      </w:tr>
      <w:tr>
        <w:tc>
          <w:tcPr>
            <w:tcW w:type="dxa" w:w="5040"/>
            <w:vAlign w:val="top"/>
          </w:tcPr>
          <w:p>
            <w:r>
              <w:t>Tool safety</w:t>
            </w:r>
          </w:p>
        </w:tc>
        <w:tc>
          <w:tcPr>
            <w:tcW w:type="dxa" w:w="5040"/>
            <w:vAlign w:val="top"/>
          </w:tcPr>
          <w:p>
            <w:r>
              <w:t>Only allowed tools/parameters are called; approvals are enforced.</w:t>
            </w:r>
          </w:p>
        </w:tc>
      </w:tr>
      <w:tr>
        <w:tc>
          <w:tcPr>
            <w:tcW w:type="dxa" w:w="5040"/>
            <w:vAlign w:val="top"/>
          </w:tcPr>
          <w:p>
            <w:r>
              <w:t>Regression</w:t>
            </w:r>
          </w:p>
        </w:tc>
        <w:tc>
          <w:tcPr>
            <w:tcW w:type="dxa" w:w="5040"/>
            <w:vAlign w:val="top"/>
          </w:tcPr>
          <w:p>
            <w:r>
              <w:t>New release does not materially degrade the approved benchmark without explicit sign-off.</w:t>
            </w:r>
          </w:p>
        </w:tc>
      </w:tr>
    </w:tbl>
    <w:p>
      <w:r>
        <w:t>Exact numeric thresholds should be set after creating a representative labeled evaluation set. Do not invent a target before the team knows the baseline and business tolerance.</w:t>
      </w:r>
    </w:p>
    <w:p>
      <w:pPr>
        <w:pStyle w:val="Heading1"/>
      </w:pPr>
      <w:r>
        <w:t>10. Data architecture and lifecycle</w:t>
      </w:r>
    </w:p>
    <w:p>
      <w:pPr>
        <w:pStyle w:val="ListNumber"/>
      </w:pPr>
      <w:r>
        <w:t>Classify the source before ingestion and verify the user/service is authorized.</w:t>
      </w:r>
    </w:p>
    <w:p>
      <w:pPr>
        <w:pStyle w:val="ListNumber"/>
      </w:pPr>
      <w:r>
        <w:t>Store original source securely; generate immutable source ID and checksum where appropriate.</w:t>
      </w:r>
    </w:p>
    <w:p>
      <w:pPr>
        <w:pStyle w:val="ListNumber"/>
      </w:pPr>
      <w:r>
        <w:t>Parse/chunk with provenance metadata.</w:t>
      </w:r>
    </w:p>
    <w:p>
      <w:pPr>
        <w:pStyle w:val="ListNumber"/>
      </w:pPr>
      <w:r>
        <w:t>Create retrieval index within the same authorization boundary.</w:t>
      </w:r>
    </w:p>
    <w:p>
      <w:pPr>
        <w:pStyle w:val="ListNumber"/>
      </w:pPr>
      <w:r>
        <w:t>Run extraction/research using approved model endpoint and minimum necessary context.</w:t>
      </w:r>
    </w:p>
    <w:p>
      <w:pPr>
        <w:pStyle w:val="ListNumber"/>
      </w:pPr>
      <w:r>
        <w:t>Store structured results, evidence references, configuration/model version and user edits.</w:t>
      </w:r>
    </w:p>
    <w:p>
      <w:pPr>
        <w:pStyle w:val="ListNumber"/>
      </w:pPr>
      <w:r>
        <w:t>Apply retention/deletion/legal-hold rules consistently to originals, indexes, derived outputs, caches and logs.</w:t>
      </w:r>
    </w:p>
    <w:p>
      <w:pPr>
        <w:pStyle w:val="Heading1"/>
      </w:pPr>
      <w:r>
        <w:t>11. Logical architecture</w:t>
      </w:r>
    </w:p>
    <w:p>
      <w:r>
        <w:t>Browser UI → API gateway/backend → authorization/policy layer → case service + document service + retrieval service + AI orchestration service → PostgreSQL / object storage / vector index → approved external/internal data connectors and approved LLM provider. Cross-cutting services: identity, secrets, feature flags, audit logging, telemetry, evaluation service and CI/CD.</w:t>
      </w:r>
    </w:p>
    <w:p>
      <w:pPr>
        <w:pStyle w:val="Heading1"/>
      </w:pPr>
      <w:r>
        <w:t>12.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t>Frontend</w:t>
            </w:r>
          </w:p>
        </w:tc>
        <w:tc>
          <w:tcPr>
            <w:tcW w:type="dxa" w:w="5040"/>
            <w:vAlign w:val="top"/>
          </w:tcPr>
          <w:p>
            <w:r>
              <w:t>Next.js + TypeScript</w:t>
            </w:r>
          </w:p>
        </w:tc>
      </w:tr>
      <w:tr>
        <w:tc>
          <w:tcPr>
            <w:tcW w:type="dxa" w:w="5040"/>
            <w:vAlign w:val="top"/>
          </w:tcPr>
          <w:p>
            <w:r>
              <w:t>Backend/API</w:t>
            </w:r>
          </w:p>
        </w:tc>
        <w:tc>
          <w:tcPr>
            <w:tcW w:type="dxa" w:w="5040"/>
            <w:vAlign w:val="top"/>
          </w:tcPr>
          <w:p>
            <w:r>
              <w:t>Python + FastAPI + Pydantic schemas</w:t>
            </w:r>
          </w:p>
        </w:tc>
      </w:tr>
      <w:tr>
        <w:tc>
          <w:tcPr>
            <w:tcW w:type="dxa" w:w="5040"/>
            <w:vAlign w:val="top"/>
          </w:tcPr>
          <w:p>
            <w:r>
              <w:t>Transactional DB</w:t>
            </w:r>
          </w:p>
        </w:tc>
        <w:tc>
          <w:tcPr>
            <w:tcW w:type="dxa" w:w="5040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5040"/>
            <w:vAlign w:val="top"/>
          </w:tcPr>
          <w:p>
            <w:r>
              <w:t>Vector retrieval</w:t>
            </w:r>
          </w:p>
        </w:tc>
        <w:tc>
          <w:tcPr>
            <w:tcW w:type="dxa" w:w="5040"/>
            <w:vAlign w:val="top"/>
          </w:tcPr>
          <w:p>
            <w:r>
              <w:t>pgvector initially</w:t>
            </w:r>
          </w:p>
        </w:tc>
      </w:tr>
      <w:tr>
        <w:tc>
          <w:tcPr>
            <w:tcW w:type="dxa" w:w="5040"/>
            <w:vAlign w:val="top"/>
          </w:tcPr>
          <w:p>
            <w:r>
              <w:t>Storage</w:t>
            </w:r>
          </w:p>
        </w:tc>
        <w:tc>
          <w:tcPr>
            <w:tcW w:type="dxa" w:w="5040"/>
            <w:vAlign w:val="top"/>
          </w:tcPr>
          <w:p>
            <w:r>
              <w:t>Enterprise cloud object storage</w:t>
            </w:r>
          </w:p>
        </w:tc>
      </w:tr>
      <w:tr>
        <w:tc>
          <w:tcPr>
            <w:tcW w:type="dxa" w:w="5040"/>
            <w:vAlign w:val="top"/>
          </w:tcPr>
          <w:p>
            <w:r>
              <w:t>LLM integration</w:t>
            </w:r>
          </w:p>
        </w:tc>
        <w:tc>
          <w:tcPr>
            <w:tcW w:type="dxa" w:w="5040"/>
            <w:vAlign w:val="top"/>
          </w:tcPr>
          <w:p>
            <w:r>
              <w:t>Thin provider adapter; approved enterprise model API</w:t>
            </w:r>
          </w:p>
        </w:tc>
      </w:tr>
      <w:tr>
        <w:tc>
          <w:tcPr>
            <w:tcW w:type="dxa" w:w="5040"/>
            <w:vAlign w:val="top"/>
          </w:tcPr>
          <w:p>
            <w:r>
              <w:t>Orchestration</w:t>
            </w:r>
          </w:p>
        </w:tc>
        <w:tc>
          <w:tcPr>
            <w:tcW w:type="dxa" w:w="5040"/>
            <w:vAlign w:val="top"/>
          </w:tcPr>
          <w:p>
            <w:r>
              <w:t>Application code/state machine first; agent framework only when complexity justifies it</w:t>
            </w:r>
          </w:p>
        </w:tc>
      </w:tr>
      <w:tr>
        <w:tc>
          <w:tcPr>
            <w:tcW w:type="dxa" w:w="5040"/>
            <w:vAlign w:val="top"/>
          </w:tcPr>
          <w:p>
            <w:r>
              <w:t>Auth</w:t>
            </w:r>
          </w:p>
        </w:tc>
        <w:tc>
          <w:tcPr>
            <w:tcW w:type="dxa" w:w="5040"/>
            <w:vAlign w:val="top"/>
          </w:tcPr>
          <w:p>
            <w:r>
              <w:t>OIDC/SAML enterprise SSO; RBAC</w:t>
            </w:r>
          </w:p>
        </w:tc>
      </w:tr>
      <w:tr>
        <w:tc>
          <w:tcPr>
            <w:tcW w:type="dxa" w:w="5040"/>
            <w:vAlign w:val="top"/>
          </w:tcPr>
          <w:p>
            <w:r>
              <w:t>CI/CD</w:t>
            </w:r>
          </w:p>
        </w:tc>
        <w:tc>
          <w:tcPr>
            <w:tcW w:type="dxa" w:w="5040"/>
            <w:vAlign w:val="top"/>
          </w:tcPr>
          <w:p>
            <w:r>
              <w:t>GitHub Actions or enterprise equivalent</w:t>
            </w:r>
          </w:p>
        </w:tc>
      </w:tr>
      <w:tr>
        <w:tc>
          <w:tcPr>
            <w:tcW w:type="dxa" w:w="5040"/>
            <w:vAlign w:val="top"/>
          </w:tcPr>
          <w:p>
            <w:r>
              <w:t>IaC</w:t>
            </w:r>
          </w:p>
        </w:tc>
        <w:tc>
          <w:tcPr>
            <w:tcW w:type="dxa" w:w="5040"/>
            <w:vAlign w:val="top"/>
          </w:tcPr>
          <w:p>
            <w:r>
              <w:t>Terraform or enterprise standard</w:t>
            </w:r>
          </w:p>
        </w:tc>
      </w:tr>
      <w:tr>
        <w:tc>
          <w:tcPr>
            <w:tcW w:type="dxa" w:w="5040"/>
            <w:vAlign w:val="top"/>
          </w:tcPr>
          <w:p>
            <w:r>
              <w:t>Observability</w:t>
            </w:r>
          </w:p>
        </w:tc>
        <w:tc>
          <w:tcPr>
            <w:tcW w:type="dxa" w:w="5040"/>
            <w:vAlign w:val="top"/>
          </w:tcPr>
          <w:p>
            <w:r>
              <w:t>OpenTelemetry + enterprise log/metric/trace platform</w:t>
            </w:r>
          </w:p>
        </w:tc>
      </w:tr>
      <w:tr>
        <w:tc>
          <w:tcPr>
            <w:tcW w:type="dxa" w:w="5040"/>
            <w:vAlign w:val="top"/>
          </w:tcPr>
          <w:p>
            <w:r>
              <w:t>Testing</w:t>
            </w:r>
          </w:p>
        </w:tc>
        <w:tc>
          <w:tcPr>
            <w:tcW w:type="dxa" w:w="5040"/>
            <w:vAlign w:val="top"/>
          </w:tcPr>
          <w:p>
            <w:r>
              <w:t>pytest + API tests + browser E2E framework + dedicated AI evaluation harness</w:t>
            </w:r>
          </w:p>
        </w:tc>
      </w:tr>
    </w:tbl>
    <w:p>
      <w:pPr>
        <w:pStyle w:val="Heading1"/>
      </w:pPr>
      <w:r>
        <w:t>13. API and schema principles</w:t>
      </w:r>
    </w:p>
    <w:p>
      <w:pPr>
        <w:pStyle w:val="ListBullet"/>
      </w:pPr>
      <w:r>
        <w:t>Version public/internal APIs intentionally; publish OpenAPI for backend endpoints.</w:t>
      </w:r>
    </w:p>
    <w:p>
      <w:pPr>
        <w:pStyle w:val="ListBullet"/>
      </w:pPr>
      <w:r>
        <w:t>Use stable IDs for case, source, document version, output, evaluation and audit event.</w:t>
      </w:r>
    </w:p>
    <w:p>
      <w:pPr>
        <w:pStyle w:val="ListBullet"/>
      </w:pPr>
      <w:r>
        <w:t>Validate all inputs and model-generated machine outputs against schemas.</w:t>
      </w:r>
    </w:p>
    <w:p>
      <w:pPr>
        <w:pStyle w:val="ListBullet"/>
      </w:pPr>
      <w:r>
        <w:t>Use idempotency for retryable create/analysis operations where duplicate execution would be harmful or costly.</w:t>
      </w:r>
    </w:p>
    <w:p>
      <w:pPr>
        <w:pStyle w:val="ListBullet"/>
      </w:pPr>
      <w:r>
        <w:t>Do not expose provider keys or internal prompts to the browser.</w:t>
      </w:r>
    </w:p>
    <w:p>
      <w:pPr>
        <w:pStyle w:val="ListBullet"/>
      </w:pPr>
      <w:r>
        <w:t>Apply authorization server-side on every resource, not only in the UI.</w:t>
      </w:r>
    </w:p>
    <w:p>
      <w:pPr>
        <w:pStyle w:val="Heading1"/>
      </w:pPr>
      <w:r>
        <w:t>14. Observability and SRE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Track</w:t>
            </w:r>
          </w:p>
        </w:tc>
      </w:tr>
      <w:tr>
        <w:tc>
          <w:tcPr>
            <w:tcW w:type="dxa" w:w="5040"/>
            <w:vAlign w:val="top"/>
          </w:tcPr>
          <w:p>
            <w:r>
              <w:t>Application</w:t>
            </w:r>
          </w:p>
        </w:tc>
        <w:tc>
          <w:tcPr>
            <w:tcW w:type="dxa" w:w="5040"/>
            <w:vAlign w:val="top"/>
          </w:tcPr>
          <w:p>
            <w:r>
              <w:t>Request count, errors, latency, queue depth, database health.</w:t>
            </w:r>
          </w:p>
        </w:tc>
      </w:tr>
      <w:tr>
        <w:tc>
          <w:tcPr>
            <w:tcW w:type="dxa" w:w="5040"/>
            <w:vAlign w:val="top"/>
          </w:tcPr>
          <w:p>
            <w:r>
              <w:t>AI</w:t>
            </w:r>
          </w:p>
        </w:tc>
        <w:tc>
          <w:tcPr>
            <w:tcW w:type="dxa" w:w="5040"/>
            <w:vAlign w:val="top"/>
          </w:tcPr>
          <w:p>
            <w:r>
              <w:t>Model/provider, tokens, latency, cost, retry/fallback, refusal/abstention, eval score trends.</w:t>
            </w:r>
          </w:p>
        </w:tc>
      </w:tr>
      <w:tr>
        <w:tc>
          <w:tcPr>
            <w:tcW w:type="dxa" w:w="5040"/>
            <w:vAlign w:val="top"/>
          </w:tcPr>
          <w:p>
            <w:r>
              <w:t>Retrieval</w:t>
            </w:r>
          </w:p>
        </w:tc>
        <w:tc>
          <w:tcPr>
            <w:tcW w:type="dxa" w:w="5040"/>
            <w:vAlign w:val="top"/>
          </w:tcPr>
          <w:p>
            <w:r>
              <w:t>Query latency, documents retrieved, empty retrievals, citation failures.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Auth failures, privilege changes, blocked tool calls, scan findings, suspicious usage.</w:t>
            </w:r>
          </w:p>
        </w:tc>
      </w:tr>
      <w:tr>
        <w:tc>
          <w:tcPr>
            <w:tcW w:type="dxa" w:w="5040"/>
            <w:vAlign w:val="top"/>
          </w:tcPr>
          <w:p>
            <w:r>
              <w:t>Business</w:t>
            </w:r>
          </w:p>
        </w:tc>
        <w:tc>
          <w:tcPr>
            <w:tcW w:type="dxa" w:w="5040"/>
            <w:vAlign w:val="top"/>
          </w:tcPr>
          <w:p>
            <w:r>
              <w:t>Cases created/completed, time to draft, corrections, feedback, adoption.</w:t>
            </w:r>
          </w:p>
        </w:tc>
      </w:tr>
    </w:tbl>
    <w:p>
      <w:pPr>
        <w:pStyle w:val="Heading1"/>
      </w:pPr>
      <w:r>
        <w:t>15. Documentation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Owner / update trigger</w:t>
            </w:r>
          </w:p>
        </w:tc>
      </w:tr>
      <w:tr>
        <w:tc>
          <w:tcPr>
            <w:tcW w:type="dxa" w:w="5040"/>
            <w:vAlign w:val="top"/>
          </w:tcPr>
          <w:p>
            <w:r>
              <w:t>README + local development guide</w:t>
            </w:r>
          </w:p>
        </w:tc>
        <w:tc>
          <w:tcPr>
            <w:tcW w:type="dxa" w:w="5040"/>
            <w:vAlign w:val="top"/>
          </w:tcPr>
          <w:p>
            <w:r>
              <w:t>Engineering; every setup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BRD/PRD</w:t>
            </w:r>
          </w:p>
        </w:tc>
        <w:tc>
          <w:tcPr>
            <w:tcW w:type="dxa" w:w="5040"/>
            <w:vAlign w:val="top"/>
          </w:tcPr>
          <w:p>
            <w:r>
              <w:t>Product; material scope/requirement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Architecture diagram + ADRs</w:t>
            </w:r>
          </w:p>
        </w:tc>
        <w:tc>
          <w:tcPr>
            <w:tcW w:type="dxa" w:w="5040"/>
            <w:vAlign w:val="top"/>
          </w:tcPr>
          <w:p>
            <w:r>
              <w:t>Architecture/engineering; architectural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Threat model/security matrix</w:t>
            </w:r>
          </w:p>
        </w:tc>
        <w:tc>
          <w:tcPr>
            <w:tcW w:type="dxa" w:w="5040"/>
            <w:vAlign w:val="top"/>
          </w:tcPr>
          <w:p>
            <w:r>
              <w:t>Security; architecture/tool/data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Data dictionary/source register</w:t>
            </w:r>
          </w:p>
        </w:tc>
        <w:tc>
          <w:tcPr>
            <w:tcW w:type="dxa" w:w="5040"/>
            <w:vAlign w:val="top"/>
          </w:tcPr>
          <w:p>
            <w:r>
              <w:t>Data owner; source/schema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AI system card + prompt/model registry</w:t>
            </w:r>
          </w:p>
        </w:tc>
        <w:tc>
          <w:tcPr>
            <w:tcW w:type="dxa" w:w="5040"/>
            <w:vAlign w:val="top"/>
          </w:tcPr>
          <w:p>
            <w:r>
              <w:t>AI/product; model/prompt/retrieval/tool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Evaluation plan/results</w:t>
            </w:r>
          </w:p>
        </w:tc>
        <w:tc>
          <w:tcPr>
            <w:tcW w:type="dxa" w:w="5040"/>
            <w:vAlign w:val="top"/>
          </w:tcPr>
          <w:p>
            <w:r>
              <w:t>AI/product; every material AI release</w:t>
            </w:r>
          </w:p>
        </w:tc>
      </w:tr>
      <w:tr>
        <w:tc>
          <w:tcPr>
            <w:tcW w:type="dxa" w:w="5040"/>
            <w:vAlign w:val="top"/>
          </w:tcPr>
          <w:p>
            <w:r>
              <w:t>API specification</w:t>
            </w:r>
          </w:p>
        </w:tc>
        <w:tc>
          <w:tcPr>
            <w:tcW w:type="dxa" w:w="5040"/>
            <w:vAlign w:val="top"/>
          </w:tcPr>
          <w:p>
            <w:r>
              <w:t>Engineering; API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Runbooks/DR/rollback</w:t>
            </w:r>
          </w:p>
        </w:tc>
        <w:tc>
          <w:tcPr>
            <w:tcW w:type="dxa" w:w="5040"/>
            <w:vAlign w:val="top"/>
          </w:tcPr>
          <w:p>
            <w:r>
              <w:t>SRE/engineering; operational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User/admin guides</w:t>
            </w:r>
          </w:p>
        </w:tc>
        <w:tc>
          <w:tcPr>
            <w:tcW w:type="dxa" w:w="5040"/>
            <w:vAlign w:val="top"/>
          </w:tcPr>
          <w:p>
            <w:r>
              <w:t>Product/ops; workflow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Release notes</w:t>
            </w:r>
          </w:p>
        </w:tc>
        <w:tc>
          <w:tcPr>
            <w:tcW w:type="dxa" w:w="5040"/>
            <w:vAlign w:val="top"/>
          </w:tcPr>
          <w:p>
            <w:r>
              <w:t>Release owner; every production release</w:t>
            </w:r>
          </w:p>
        </w:tc>
      </w:tr>
    </w:tbl>
    <w:p>
      <w:pPr>
        <w:pStyle w:val="Heading1"/>
      </w:pPr>
      <w:r>
        <w:t>16. Phased implementation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040"/>
            <w:shd w:fill="17365D"/>
            <w:vAlign w:val="center"/>
          </w:tcPr>
          <w:p>
            <w:r>
              <w:rPr>
                <w:b/>
                <w:color w:val="FFFFFF"/>
              </w:rPr>
              <w:t>Epics</w:t>
            </w:r>
          </w:p>
        </w:tc>
      </w:tr>
      <w:tr>
        <w:tc>
          <w:tcPr>
            <w:tcW w:type="dxa" w:w="5040"/>
            <w:vAlign w:val="top"/>
          </w:tcPr>
          <w:p>
            <w:r>
              <w:t>0</w:t>
            </w:r>
          </w:p>
        </w:tc>
        <w:tc>
          <w:tcPr>
            <w:tcW w:type="dxa" w:w="5040"/>
            <w:vAlign w:val="top"/>
          </w:tcPr>
          <w:p>
            <w:r>
              <w:t>Discovery; workflow; personas; data/source register; BRD/PRD; architecture; threat model; repo baseline; evaluation-set design.</w:t>
            </w:r>
          </w:p>
        </w:tc>
      </w:tr>
      <w:tr>
        <w:tc>
          <w:tcPr>
            <w:tcW w:type="dxa" w:w="5040"/>
            <w:vAlign w:val="top"/>
          </w:tcPr>
          <w:p>
            <w:r>
              <w:t>1</w:t>
            </w:r>
          </w:p>
        </w:tc>
        <w:tc>
          <w:tcPr>
            <w:tcW w:type="dxa" w:w="5040"/>
            <w:vAlign w:val="top"/>
          </w:tcPr>
          <w:p>
            <w:r>
              <w:t>SSO/RBAC; case CRUD; source storage; audit skeleton; CI/CD; dev/staging; telemetry.</w:t>
            </w:r>
          </w:p>
        </w:tc>
      </w:tr>
      <w:tr>
        <w:tc>
          <w:tcPr>
            <w:tcW w:type="dxa" w:w="5040"/>
            <w:vAlign w:val="top"/>
          </w:tcPr>
          <w:p>
            <w:r>
              <w:t>2</w:t>
            </w:r>
          </w:p>
        </w:tc>
        <w:tc>
          <w:tcPr>
            <w:tcW w:type="dxa" w:w="5040"/>
            <w:vAlign w:val="top"/>
          </w:tcPr>
          <w:p>
            <w:r>
              <w:t>Parsing; retrieval; citations; structured extraction; memo draft; human edit/versioning; initial eval harness.</w:t>
            </w:r>
          </w:p>
        </w:tc>
      </w:tr>
      <w:tr>
        <w:tc>
          <w:tcPr>
            <w:tcW w:type="dxa" w:w="5040"/>
            <w:vAlign w:val="top"/>
          </w:tcPr>
          <w:p>
            <w:r>
              <w:t>3</w:t>
            </w:r>
          </w:p>
        </w:tc>
        <w:tc>
          <w:tcPr>
            <w:tcW w:type="dxa" w:w="5040"/>
            <w:vAlign w:val="top"/>
          </w:tcPr>
          <w:p>
            <w:r>
              <w:t>Financial trends; risk signals; knowledge retrieval; contradiction/missing-info workflows; pilot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4</w:t>
            </w:r>
          </w:p>
        </w:tc>
        <w:tc>
          <w:tcPr>
            <w:tcW w:type="dxa" w:w="5040"/>
            <w:vAlign w:val="top"/>
          </w:tcPr>
          <w:p>
            <w:r>
              <w:t>Bounded tools/orchestration if justified; approval gates; advanced security/evals.</w:t>
            </w:r>
          </w:p>
        </w:tc>
      </w:tr>
      <w:tr>
        <w:tc>
          <w:tcPr>
            <w:tcW w:type="dxa" w:w="5040"/>
            <w:vAlign w:val="top"/>
          </w:tcPr>
          <w:p>
            <w:r>
              <w:t>5</w:t>
            </w:r>
          </w:p>
        </w:tc>
        <w:tc>
          <w:tcPr>
            <w:tcW w:type="dxa" w:w="5040"/>
            <w:vAlign w:val="top"/>
          </w:tcPr>
          <w:p>
            <w:r>
              <w:t>Performance; DR; penetration test; privacy/legal/vendor reviews; UAT; support/runbooks; production readiness.</w:t>
            </w:r>
          </w:p>
        </w:tc>
      </w:tr>
    </w:tbl>
    <w:p>
      <w:pPr>
        <w:pStyle w:val="Heading1"/>
      </w:pPr>
      <w:r>
        <w:t>17. Acceptance criteria for MVP</w:t>
      </w:r>
    </w:p>
    <w:p>
      <w:pPr>
        <w:pStyle w:val="ListBullet"/>
      </w:pPr>
      <w:r>
        <w:t>A permitted user can create a case, add approved source material and generate a research pack.</w:t>
      </w:r>
    </w:p>
    <w:p>
      <w:pPr>
        <w:pStyle w:val="ListBullet"/>
      </w:pPr>
      <w:r>
        <w:t>The generated memo contains evidence references for material factual claims and clearly marks missing/uncertain information.</w:t>
      </w:r>
    </w:p>
    <w:p>
      <w:pPr>
        <w:pStyle w:val="ListBullet"/>
      </w:pPr>
      <w:r>
        <w:t>The user can inspect evidence, edit/reject AI content and see version history.</w:t>
      </w:r>
    </w:p>
    <w:p>
      <w:pPr>
        <w:pStyle w:val="ListBullet"/>
      </w:pPr>
      <w:r>
        <w:t>No final credit decision is made or executed by the product.</w:t>
      </w:r>
    </w:p>
    <w:p>
      <w:pPr>
        <w:pStyle w:val="ListBullet"/>
      </w:pPr>
      <w:r>
        <w:t>Unauthorized users cannot access another user's restricted case through UI or API.</w:t>
      </w:r>
    </w:p>
    <w:p>
      <w:pPr>
        <w:pStyle w:val="ListBullet"/>
      </w:pPr>
      <w:r>
        <w:t>Audit records identify the case, actor, source/output IDs and model/config version for material AI generation.</w:t>
      </w:r>
    </w:p>
    <w:p>
      <w:pPr>
        <w:pStyle w:val="ListBullet"/>
      </w:pPr>
      <w:r>
        <w:t>Required automated tests, security scans and AI regression evaluations pass in CI/staging.</w:t>
      </w:r>
    </w:p>
    <w:p>
      <w:pPr>
        <w:pStyle w:val="ListBullet"/>
      </w:pPr>
      <w:r>
        <w:t>A failed model/source call produces a safe error/fallback and does not silently fabricate output.</w:t>
      </w:r>
    </w:p>
    <w:p>
      <w:pPr>
        <w:pStyle w:val="ListBullet"/>
      </w:pPr>
      <w:r>
        <w:t>Production deployment can be rolled back and operational monitoring is active.</w:t>
      </w:r>
    </w:p>
    <w:p>
      <w:pPr>
        <w:pStyle w:val="Heading1"/>
      </w:pPr>
      <w:r>
        <w:t>18. Open decisions before coding</w:t>
      </w:r>
    </w:p>
    <w:p>
      <w:pPr>
        <w:pStyle w:val="ListNumber"/>
      </w:pPr>
      <w:r>
        <w:t>Who is the first pilot user group and what exact current workflow will be replaced or assisted?</w:t>
      </w:r>
    </w:p>
    <w:p>
      <w:pPr>
        <w:pStyle w:val="ListNumber"/>
      </w:pPr>
      <w:r>
        <w:t>Which 1–3 data sources are approved for MVP?</w:t>
      </w:r>
    </w:p>
    <w:p>
      <w:pPr>
        <w:pStyle w:val="ListNumber"/>
      </w:pPr>
      <w:r>
        <w:t>Which fields and memo sections are mandatory?</w:t>
      </w:r>
    </w:p>
    <w:p>
      <w:pPr>
        <w:pStyle w:val="ListNumber"/>
      </w:pPr>
      <w:r>
        <w:t>What data classification and residency rules apply?</w:t>
      </w:r>
    </w:p>
    <w:p>
      <w:pPr>
        <w:pStyle w:val="ListNumber"/>
      </w:pPr>
      <w:r>
        <w:t>Which enterprise cloud, identity provider and LLM providers are approved?</w:t>
      </w:r>
    </w:p>
    <w:p>
      <w:pPr>
        <w:pStyle w:val="ListNumber"/>
      </w:pPr>
      <w:r>
        <w:t>What evidence must be retained for audit, and for how long?</w:t>
      </w:r>
    </w:p>
    <w:p>
      <w:pPr>
        <w:pStyle w:val="ListNumber"/>
      </w:pPr>
      <w:r>
        <w:t>What pilot evaluation dataset will represent real work without exposing unauthorized data?</w:t>
      </w:r>
    </w:p>
    <w:p>
      <w:pPr>
        <w:pStyle w:val="ListNumber"/>
      </w:pPr>
      <w:r>
        <w:t>What measurable threshold determines whether the pilot proceeds, pauses or is redesigned?</w:t>
      </w:r>
    </w:p>
    <w:p>
      <w:pPr>
        <w:pStyle w:val="Heading1"/>
      </w:pPr>
      <w:r>
        <w:t>19. Enterprise readiness checklist</w:t>
      </w:r>
    </w:p>
    <w:p>
      <w:pPr>
        <w:pStyle w:val="ListBullet"/>
      </w:pPr>
      <w:r>
        <w:t>Business owner and product owner named.</w:t>
      </w:r>
    </w:p>
    <w:p>
      <w:pPr>
        <w:pStyle w:val="ListBullet"/>
      </w:pPr>
      <w:r>
        <w:t>Security, privacy, risk/model governance and data owners engaged.</w:t>
      </w:r>
    </w:p>
    <w:p>
      <w:pPr>
        <w:pStyle w:val="ListBullet"/>
      </w:pPr>
      <w:r>
        <w:t>Repository rules and environment protections active.</w:t>
      </w:r>
    </w:p>
    <w:p>
      <w:pPr>
        <w:pStyle w:val="ListBullet"/>
      </w:pPr>
      <w:r>
        <w:t>Threat model and data-flow diagram reviewed.</w:t>
      </w:r>
    </w:p>
    <w:p>
      <w:pPr>
        <w:pStyle w:val="ListBullet"/>
      </w:pPr>
      <w:r>
        <w:t>Secrets, identity and access controls tested.</w:t>
      </w:r>
    </w:p>
    <w:p>
      <w:pPr>
        <w:pStyle w:val="ListBullet"/>
      </w:pPr>
      <w:r>
        <w:t>Evaluation dataset versioned and release gates automated.</w:t>
      </w:r>
    </w:p>
    <w:p>
      <w:pPr>
        <w:pStyle w:val="ListBullet"/>
      </w:pPr>
      <w:r>
        <w:t>Backups/restore, incident response and rollback exercised.</w:t>
      </w:r>
    </w:p>
    <w:p>
      <w:pPr>
        <w:pStyle w:val="ListBullet"/>
      </w:pPr>
      <w:r>
        <w:t>Vendor/model terms, data handling and retention approved.</w:t>
      </w:r>
    </w:p>
    <w:p>
      <w:pPr>
        <w:pStyle w:val="ListBullet"/>
      </w:pPr>
      <w:r>
        <w:t>User training and responsible-use guidance completed.</w:t>
      </w:r>
    </w:p>
    <w:p>
      <w:pPr>
        <w:pStyle w:val="ListBullet"/>
      </w:pPr>
      <w:r>
        <w:t>Pilot metrics/dashboard and post-release review cadence established.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AI Underwriting Research Assistant | Enterprise Product Pack</w:t>
    </w:r>
  </w:p>
  <w:p>
    <w:pPr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