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F2A44"/>
          <w:sz w:val="40"/>
        </w:rPr>
        <w:t>Architectural Ambition, Attributional Drift, and the Limits of Microlearning</w:t>
      </w:r>
    </w:p>
    <w:p>
      <w:pPr>
        <w:spacing w:after="40"/>
        <w:jc w:val="center"/>
      </w:pPr>
      <w:r>
        <w:rPr>
          <w:rFonts w:ascii="Arial" w:hAnsi="Arial"/>
          <w:i/>
          <w:color w:val="444444"/>
          <w:sz w:val="26"/>
        </w:rPr>
        <w:t>A Scholarly Critical Review of “Understanding Reality's Architecture: Micro-Learning Syllabus, Definitive Edition v3.0”</w:t>
      </w:r>
    </w:p>
    <w:p>
      <w:pPr>
        <w:spacing w:after="280"/>
        <w:jc w:val="center"/>
      </w:pPr>
      <w:r>
        <w:rPr>
          <w:rFonts w:ascii="Arial" w:hAnsi="Arial"/>
          <w:color w:val="777777"/>
          <w:sz w:val="20"/>
        </w:rPr>
        <w:t>Critical Review / Commentary • In-Depth Research Mode • June 22, 2026</w:t>
      </w:r>
    </w:p>
    <w:p>
      <w:pPr>
        <w:pBdr>
          <w:bottom w:val="single" w:sz="6" w:space="1" w:color="888888"/>
        </w:pBdr>
      </w:pPr>
    </w:p>
    <w:p>
      <w:pPr>
        <w:pStyle w:val="Heading2"/>
        <w:spacing w:before="240" w:after="120"/>
        <w:jc w:val="left"/>
      </w:pPr>
      <w:r>
        <w:rPr>
          <w:rFonts w:ascii="Arial" w:hAnsi="Arial"/>
          <w:b/>
          <w:sz w:val="28"/>
        </w:rPr>
        <w:t>TL;DR — One-Paragraph Verdict</w:t>
      </w:r>
    </w:p>
    <w:p>
      <w:r>
        <w:rPr>
          <w:rFonts w:ascii="Times New Roman" w:hAnsi="Times New Roman"/>
          <w:b w:val="0"/>
          <w:i w:val="0"/>
          <w:sz w:val="24"/>
        </w:rPr>
        <w:t>Conditional Recommendation. The syllabus is a genuinely ambitious and intellectually serious piece of curriculum design whose architectural logic — standpoint → epistemics → cognition → social construction → power → systems → political economy → digital → synthesis — is more carefully sequenced than most graduate-level survey courses in interdisciplinary theory. However, the project is undermined by three structural tensions that a scholarly reviewer cannot ignore: (1) a recurring attributional looseness in which popularizers, critics, and genuine originators are elided into a single “originator(s)” column; (2) a format-content mismatch in which a 500–800-word micro-session is asked to carry concepts that took their originators entire books (and often entire careers) to stabilize; and (3) an uneven critical reflex, sharp when interrogating power but markedly less so when interrogating contested empirical claims (e.g., polyvagal theory) or the syllabus's own favored frameworks (e.g., predictive processing, metamodernism). Recommended for autodidacts with prior philosophical training who will use it as a navigational map rather than a primary source; not recommended as a stand-alone curriculum for beginners, for institutional credit-bearing use, or for any reader inclined to take the “originator(s)” column as citation-grade.</w:t>
      </w:r>
    </w:p>
    <w:p>
      <w:pPr>
        <w:pStyle w:val="Heading2"/>
        <w:spacing w:before="240" w:after="120"/>
        <w:jc w:val="left"/>
      </w:pPr>
      <w:r>
        <w:rPr>
          <w:rFonts w:ascii="Arial" w:hAnsi="Arial"/>
          <w:b/>
          <w:sz w:val="28"/>
        </w:rPr>
        <w:t>Overview</w:t>
      </w:r>
    </w:p>
    <w:p>
      <w:r>
        <w:rPr>
          <w:rFonts w:ascii="Times New Roman" w:hAnsi="Times New Roman"/>
          <w:b w:val="0"/>
          <w:i w:val="0"/>
          <w:sz w:val="24"/>
        </w:rPr>
        <w:t>The subject of this review is “Understanding Reality's Architecture: Micro-Learning Syllabus, Definitive Edition v3.0,” a self-described daily micro-curriculum of 74 lessons delivered across roughly 10 weeks. The syllabus is organized into eight modules of uneven length (M1–M6 contain 10 lessons each; M7 and M8 contain 8 each), with each lesson specified as 500–800 words and 5–10 minutes of reader time. The stated aim is synthesis: to give the learner a layered, cross-referential vocabulary for understanding how reality is known, constructed, governed, and destabilized. The authorship is anonymous or pseudonymous in the version provided; no institutional affiliation, peer review, or editorial process is evident. This review treats it as a curricular artifact of the contemporary “theory on the internet” genre — alongside popular newsletters, podcast curricula, and Substack syllabi — rather than as an academic publication.</w:t>
      </w:r>
    </w:p>
    <w:p>
      <w:r>
        <w:rPr>
          <w:rFonts w:ascii="Times New Roman" w:hAnsi="Times New Roman"/>
          <w:b w:val="0"/>
          <w:i w:val="0"/>
          <w:sz w:val="24"/>
        </w:rPr>
        <w:t>In scope: this review evaluates the syllabus's architectural logic, conceptual coverage, attributional accuracy, pedagogical design, critical balance, and reflexive self-awareness. It draws on the primary literature for a sample of the most load-bearing claims to verify both attribution and the precision of the “core claim” statements. Out of scope: an evaluation of the (unseen) lesson drafts themselves; the political or ideological commitments of the (unidentified) author(s); and any quantitative assessment of learning outcomes, since no such data are available. Where the syllabus's own “What this version still cannot see” section acknowledges limits, this review treats that admission as evidence rather than as dispositive.</w:t>
      </w:r>
    </w:p>
    <w:p>
      <w:pPr>
        <w:pStyle w:val="Heading2"/>
        <w:spacing w:before="240" w:after="120"/>
        <w:jc w:val="left"/>
      </w:pPr>
      <w:r>
        <w:rPr>
          <w:rFonts w:ascii="Arial" w:hAnsi="Arial"/>
          <w:b/>
          <w:sz w:val="28"/>
        </w:rPr>
        <w:t>Evaluation Criteria</w:t>
      </w:r>
    </w:p>
    <w:p>
      <w:r>
        <w:rPr>
          <w:rFonts w:ascii="Times New Roman" w:hAnsi="Times New Roman"/>
          <w:b w:val="0"/>
          <w:i w:val="0"/>
          <w:sz w:val="24"/>
        </w:rPr>
        <w:t>Six criteria are applied. For each, “good” is defined operationally so that judgment is auditable rather than impressionistic.</w:t>
      </w:r>
    </w:p>
    <w:p>
      <w:pPr>
        <w:pStyle w:val="ListNumber"/>
      </w:pPr>
      <w:r>
        <w:rPr>
          <w:rFonts w:ascii="Times New Roman" w:hAnsi="Times New Roman"/>
          <w:b/>
          <w:sz w:val="24"/>
        </w:rPr>
        <w:t xml:space="preserve">Attributional Accuracy — </w:t>
      </w:r>
      <w:r>
        <w:rPr>
          <w:rFonts w:ascii="Times New Roman" w:hAnsi="Times New Roman"/>
          <w:sz w:val="24"/>
        </w:rPr>
        <w:t>the syllabus must name the major contributors to each concept with sufficient specificity that a reader could locate the originating work. “Good” means primary originators are distinguished from popularizers, synthesizers, and critics. Evidence qualifying as failure: an originator listed who publicly disagrees with the framing attributed to them, or a primary originator omitted in favor of a secondary figure.</w:t>
      </w:r>
    </w:p>
    <w:p>
      <w:pPr>
        <w:pStyle w:val="ListNumber"/>
      </w:pPr>
      <w:r>
        <w:rPr>
          <w:rFonts w:ascii="Times New Roman" w:hAnsi="Times New Roman"/>
          <w:b/>
          <w:sz w:val="24"/>
        </w:rPr>
        <w:t xml:space="preserve">Architectural Coherence — </w:t>
      </w:r>
      <w:r>
        <w:rPr>
          <w:rFonts w:ascii="Times New Roman" w:hAnsi="Times New Roman"/>
          <w:sz w:val="24"/>
        </w:rPr>
        <w:t>the sequence of modules and lessons must be defensible as an ordering, not merely as a list. “Good” means each lesson's prerequisites are satisfiable by prior lessons, and the rationale given for the sequence is not circular.</w:t>
      </w:r>
    </w:p>
    <w:p>
      <w:pPr>
        <w:pStyle w:val="ListNumber"/>
      </w:pPr>
      <w:r>
        <w:rPr>
          <w:rFonts w:ascii="Times New Roman" w:hAnsi="Times New Roman"/>
          <w:b/>
          <w:sz w:val="24"/>
        </w:rPr>
        <w:t xml:space="preserve">Conceptual Compression — </w:t>
      </w:r>
      <w:r>
        <w:rPr>
          <w:rFonts w:ascii="Times New Roman" w:hAnsi="Times New Roman"/>
          <w:sz w:val="24"/>
        </w:rPr>
        <w:t>the “core claim” cell for each lesson must be a defensible compression of the originating position, not a paraphrase that distorts it. “Good” means a scholar familiar with the source would sign off on the compression. Evidence qualifying as failure: a core claim that contradicts a central contention of the source, or that presents a contested empirical theory as settled.</w:t>
      </w:r>
    </w:p>
    <w:p>
      <w:pPr>
        <w:pStyle w:val="ListNumber"/>
      </w:pPr>
      <w:r>
        <w:rPr>
          <w:rFonts w:ascii="Times New Roman" w:hAnsi="Times New Roman"/>
          <w:b/>
          <w:sz w:val="24"/>
        </w:rPr>
        <w:t xml:space="preserve">Pedagogical Viability — </w:t>
      </w:r>
      <w:r>
        <w:rPr>
          <w:rFonts w:ascii="Times New Roman" w:hAnsi="Times New Roman"/>
          <w:sz w:val="24"/>
        </w:rPr>
        <w:t>the format (500–800 words, 5–10 minutes) must be adequate to the cognitive load of the concept. “Good” means a motivated generalist could form an accurate first-pass mental model from the lesson alone. Evidence qualifying as failure: a concept whose adequate introduction is known to require multiple book chapters.</w:t>
      </w:r>
    </w:p>
    <w:p>
      <w:pPr>
        <w:pStyle w:val="ListNumber"/>
      </w:pPr>
      <w:r>
        <w:rPr>
          <w:rFonts w:ascii="Times New Roman" w:hAnsi="Times New Roman"/>
          <w:b/>
          <w:sz w:val="24"/>
        </w:rPr>
        <w:t xml:space="preserve">Critical Reflexivity — </w:t>
      </w:r>
      <w:r>
        <w:rPr>
          <w:rFonts w:ascii="Times New Roman" w:hAnsi="Times New Roman"/>
          <w:sz w:val="24"/>
        </w:rPr>
        <w:t>the syllabus must apply its own critical apparatus to its own contents. “Good” means contested claims are marked as contested, favored frameworks are not privileged, and the syllabus does not perform the “view from nowhere” it denounces in M1.</w:t>
      </w:r>
    </w:p>
    <w:p>
      <w:pPr>
        <w:pStyle w:val="ListNumber"/>
      </w:pPr>
      <w:r>
        <w:rPr>
          <w:rFonts w:ascii="Times New Roman" w:hAnsi="Times New Roman"/>
          <w:b/>
          <w:sz w:val="24"/>
        </w:rPr>
        <w:t xml:space="preserve">Integration Quality — </w:t>
      </w:r>
      <w:r>
        <w:rPr>
          <w:rFonts w:ascii="Times New Roman" w:hAnsi="Times New Roman"/>
          <w:sz w:val="24"/>
        </w:rPr>
        <w:t>the four vectors advertised as running throughout (Critical/Structural, Materialist/Formal, Phenomenological/Contemplative, Ecological/More-than-human) must actually appear in module content, not merely in the framing. “Good” means each module contains at least one lesson engaging each vector relevant to its theme.</w:t>
      </w:r>
    </w:p>
    <w:p>
      <w:pPr>
        <w:pStyle w:val="Heading2"/>
        <w:spacing w:before="240" w:after="120"/>
        <w:jc w:val="left"/>
      </w:pPr>
      <w:r>
        <w:rPr>
          <w:rFonts w:ascii="Arial" w:hAnsi="Arial"/>
          <w:b/>
          <w:sz w:val="28"/>
        </w:rPr>
        <w:t>Key Claims Under Evaluation</w:t>
      </w:r>
    </w:p>
    <w:p>
      <w:r>
        <w:rPr>
          <w:rFonts w:ascii="Times New Roman" w:hAnsi="Times New Roman"/>
          <w:b w:val="0"/>
          <w:i w:val="0"/>
          <w:sz w:val="24"/>
        </w:rPr>
        <w:t>Five debatable claims anchor this review. They are extracted from the syllabus's own framing language rather than from individual lesson content, because the framing is what determines the syllabus's self-understanding.</w:t>
      </w:r>
    </w:p>
    <w:p>
      <w:pPr>
        <w:pStyle w:val="ListNumber"/>
      </w:pPr>
      <w:r>
        <w:rPr>
          <w:rFonts w:ascii="Times New Roman" w:hAnsi="Times New Roman"/>
          <w:sz w:val="24"/>
        </w:rPr>
        <w:t>“The sequence (Who → How → What → How collectives → Power → Systems → Political economy → Digital → Synthesis) is the optimal pedagogical order.”</w:t>
      </w:r>
    </w:p>
    <w:p>
      <w:pPr>
        <w:pStyle w:val="ListNumber"/>
      </w:pPr>
      <w:r>
        <w:rPr>
          <w:rFonts w:ascii="Times New Roman" w:hAnsi="Times New Roman"/>
          <w:sz w:val="24"/>
        </w:rPr>
        <w:t>“The four integrated vectors run throughout the curriculum rather than being additive.”</w:t>
      </w:r>
    </w:p>
    <w:p>
      <w:pPr>
        <w:pStyle w:val="ListNumber"/>
      </w:pPr>
      <w:r>
        <w:rPr>
          <w:rFonts w:ascii="Times New Roman" w:hAnsi="Times New Roman"/>
          <w:sz w:val="24"/>
        </w:rPr>
        <w:t>“Non-Western epistemologies are integrated into M1, not relegated to M4.”</w:t>
      </w:r>
    </w:p>
    <w:p>
      <w:pPr>
        <w:pStyle w:val="ListNumber"/>
      </w:pPr>
      <w:r>
        <w:rPr>
          <w:rFonts w:ascii="Times New Roman" w:hAnsi="Times New Roman"/>
          <w:sz w:val="24"/>
        </w:rPr>
        <w:t>“A 500–800-word micro-session with an 8-component lesson structure is adequate for concepts of this density.”</w:t>
      </w:r>
    </w:p>
    <w:p>
      <w:pPr>
        <w:pStyle w:val="ListNumber"/>
      </w:pPr>
      <w:r>
        <w:rPr>
          <w:rFonts w:ascii="Times New Roman" w:hAnsi="Times New Roman"/>
          <w:sz w:val="24"/>
        </w:rPr>
        <w:t>“No single synthesis framework is privileged” (a claim explicitly invoked to justify the inclusion of Wilber with its critique).</w:t>
      </w:r>
    </w:p>
    <w:p>
      <w:pPr>
        <w:pStyle w:val="Heading2"/>
        <w:spacing w:before="240" w:after="120"/>
        <w:jc w:val="left"/>
      </w:pPr>
      <w:r>
        <w:rPr>
          <w:rFonts w:ascii="Arial" w:hAnsi="Arial"/>
          <w:b/>
          <w:sz w:val="28"/>
        </w:rPr>
        <w:t>Evidence &amp; Analysis</w:t>
      </w:r>
    </w:p>
    <w:p>
      <w:pPr>
        <w:pStyle w:val="Heading3"/>
        <w:spacing w:before="240" w:after="120"/>
        <w:jc w:val="left"/>
      </w:pPr>
      <w:r>
        <w:rPr>
          <w:rFonts w:ascii="Arial" w:hAnsi="Arial"/>
          <w:b/>
          <w:sz w:val="24"/>
        </w:rPr>
        <w:t>Claim 1: The Architectural Sequence Is Optimal</w:t>
      </w:r>
    </w:p>
    <w:p>
      <w:r>
        <w:rPr>
          <w:rFonts w:ascii="Times New Roman" w:hAnsi="Times New Roman"/>
          <w:b w:val="0"/>
          <w:i w:val="0"/>
          <w:sz w:val="24"/>
        </w:rPr>
        <w:t>Claim: the eight-module sequence is a defensible pedagogical order.</w:t>
      </w:r>
    </w:p>
    <w:p>
      <w:r>
        <w:rPr>
          <w:rFonts w:ascii="Times New Roman" w:hAnsi="Times New Roman"/>
          <w:b w:val="0"/>
          <w:i w:val="0"/>
          <w:sz w:val="24"/>
        </w:rPr>
        <w:t>Evidence in favor. The sequence does respect a non-trivial logical dependency: standpoint epistemology (M1.1) genuinely presupposes nothing about the mind's architecture, while predictive processing (M2.1) presupposes an account of who is predicting; social construction (M3.1) presupposes a cognizing subject to do the constructing; power/knowledge (M4.1) presupposes a society to be governed; systems thinking (M5.1) presupposes an account of what is being systematized; political economy (M6.1) presupposes a material substrate; digital infrastructure (M7.1) presupposes a political economy to instantiate it; and synthesis (M8) presupposes the prior seven modules. This is a more careful ordering than, say, the typical humanities survey that begins with Descartes and proceeds chronologically.</w:t>
      </w:r>
    </w:p>
    <w:p>
      <w:r>
        <w:rPr>
          <w:rFonts w:ascii="Times New Roman" w:hAnsi="Times New Roman"/>
          <w:b w:val="0"/>
          <w:i w:val="0"/>
          <w:sz w:val="24"/>
        </w:rPr>
        <w:t>Evidence against. The sequence contains at least two substantive inversions that a scholarly reviewer must flag. First, critical realism (M1.10, Bhaskar) is placed at the end of the epistemics module, but its ontological depth (Real / Actual / Empirical) is the very thing that licenses the move from M1 to M2 — i.e., the claim that there are generative mechanisms underlying the cognizing subject's experience. Placing it last treats it as a capstone rather than as a foundation, which inverts Bhaskar's own argumentative strategy. Second, dependent origination (M5.7) is placed inside the systems module, but its critique of inherent existence (svabhāva) is logically prior to — not derived from — the systems-theoretic claim that wholes are irreducible to parts. The syllabus treats Nāgārjuna as a systems thinker, which is a recognizable modern reading (cf. Joanna Macy's work), but it is a reading, not a derivation.</w:t>
      </w:r>
    </w:p>
    <w:p>
      <w:r>
        <w:rPr>
          <w:rFonts w:ascii="Times New Roman" w:hAnsi="Times New Roman"/>
          <w:b w:val="0"/>
          <w:i w:val="0"/>
          <w:sz w:val="24"/>
        </w:rPr>
        <w:t>Implication. The architectural logic is sound enough to defend as a pedagogical choice, but it is not “the” optimal order; it is one defensible order with at least two arguable inversions. The syllabus's rhetoric of optimality (“sequence rationale” presented as a single chain) overstates the case.</w:t>
      </w:r>
    </w:p>
    <w:p>
      <w:pPr>
        <w:pStyle w:val="Heading3"/>
        <w:spacing w:before="240" w:after="120"/>
        <w:jc w:val="left"/>
      </w:pPr>
      <w:r>
        <w:rPr>
          <w:rFonts w:ascii="Arial" w:hAnsi="Arial"/>
          <w:b/>
          <w:sz w:val="24"/>
        </w:rPr>
        <w:t>Claim 2: The Four Vectors Run Throughout</w:t>
      </w:r>
    </w:p>
    <w:p>
      <w:r>
        <w:rPr>
          <w:rFonts w:ascii="Times New Roman" w:hAnsi="Times New Roman"/>
          <w:b w:val="0"/>
          <w:i w:val="0"/>
          <w:sz w:val="24"/>
        </w:rPr>
        <w:t>Claim: Critical/Structural, Materialist/Formal, Phenomenological/Contemplative, and Ecological/More-than-human threads are integrated throughout, not additive.</w:t>
      </w:r>
    </w:p>
    <w:p>
      <w:r>
        <w:rPr>
          <w:rFonts w:ascii="Times New Roman" w:hAnsi="Times New Roman"/>
          <w:b w:val="0"/>
          <w:i w:val="0"/>
          <w:sz w:val="24"/>
        </w:rPr>
        <w:t>Evidence. Counting modules where each vector appears at the level of an explicit lesson: the Critical/Structural vector is genuinely pervasive (M1.1, M1.9, M3.4, M4.1–4.10, M6.1–6.3, M6.8, M7.6). The Materialist/Formal vector appears in M2.1, M2.5–2.6, M5.1–5.4, M5.8–5.10, M6.4. The Phenomenological/Contemplative vector appears in M2.2, M2.8–2.9, M5.7, M8.7, with explicit cross-links claimed between M2, M5, and M8. The Ecological vector appears in M1.9, M5.5–5.6, M6.4, M6.10.</w:t>
      </w:r>
    </w:p>
    <w:p>
      <w:r>
        <w:rPr>
          <w:rFonts w:ascii="Times New Roman" w:hAnsi="Times New Roman"/>
          <w:b w:val="0"/>
          <w:i w:val="0"/>
          <w:sz w:val="24"/>
        </w:rPr>
        <w:t>Reasoning. The first two vectors are genuinely integrated; the latter two are concentrated rather than distributed. The contemplative thread is concentrated in M2 and M8, with M5.7 as a bridge. The ecological thread is concentrated in M5–M6. The syllabus's claim of integration is therefore strongest for the first two vectors and weakest for the last two. Notably, the Ecological/More-than-human vector is absent from M2 (the cognizing subject), M3 (social construction), M4 (power), and M7 (digital) — exactly the modules where a more-than-human framing would be most disruptive to the syllabus's largely anthropocentric treatment. Actor-network theory (M3.9) gestures at this but is itself a human-centered formalism.</w:t>
      </w:r>
    </w:p>
    <w:p>
      <w:r>
        <w:rPr>
          <w:rFonts w:ascii="Times New Roman" w:hAnsi="Times New Roman"/>
          <w:b w:val="0"/>
          <w:i w:val="0"/>
          <w:sz w:val="24"/>
        </w:rPr>
        <w:t>Implication. “Throughout” is an overstatement for the contemplative and ecological vectors; “recurring” would be more accurate. The syllabus's own acknowledgment that “the body at scale — trauma studies, somatic politics, disability studies — are underrepresented” tacitly concedes this point.</w:t>
      </w:r>
    </w:p>
    <w:p>
      <w:pPr>
        <w:pStyle w:val="Heading3"/>
        <w:spacing w:before="240" w:after="120"/>
        <w:jc w:val="left"/>
      </w:pPr>
      <w:r>
        <w:rPr>
          <w:rFonts w:ascii="Arial" w:hAnsi="Arial"/>
          <w:b/>
          <w:sz w:val="24"/>
        </w:rPr>
        <w:t>Claim 3: Non-Western Epistemologies Integrated in M1</w:t>
      </w:r>
    </w:p>
    <w:p>
      <w:r>
        <w:rPr>
          <w:rFonts w:ascii="Times New Roman" w:hAnsi="Times New Roman"/>
          <w:b w:val="0"/>
          <w:i w:val="0"/>
          <w:sz w:val="24"/>
        </w:rPr>
        <w:t>Claim: non-Western epistemologies are integrated into M1 rather than relegated to a later “diversity” module.</w:t>
      </w:r>
    </w:p>
    <w:p>
      <w:r>
        <w:rPr>
          <w:rFonts w:ascii="Times New Roman" w:hAnsi="Times New Roman"/>
          <w:b w:val="0"/>
          <w:i w:val="0"/>
          <w:sz w:val="24"/>
        </w:rPr>
        <w:t>Evidence in favor. M1.9 (Indigenous &amp; Relational Epistemologies) and M5.7 (Dependent Origination) are placed within foundational modules rather than in a token “other ways of knowing” module. This is a substantive improvement over the structure the syllabus implicitly criticizes.</w:t>
      </w:r>
    </w:p>
    <w:p>
      <w:r>
        <w:rPr>
          <w:rFonts w:ascii="Times New Roman" w:hAnsi="Times New Roman"/>
          <w:b w:val="0"/>
          <w:i w:val="0"/>
          <w:sz w:val="24"/>
        </w:rPr>
        <w:t>Evidence against. The claim of integration is weakened by three observations. First, M1 contains a single non-Western lesson (1.9) out of ten; M2 contains a single non-Western lesson (2.9, Anatta) out of ten. “Integration” here means “inclusion,” not parity. Second, the attribution of M1.9 to “Battiste / Wilson / Two-Eyed Seeing” is loose: Two-Eyed Seeing (Etuaptmumk) is specifically the framework developed by Mi'kmaw Elders Albert and Murdena Marshall, with later scholarly elaboration by Battiste, Hatcher, Bartlett, and others. Listing Two-Eyed Seeing alongside Battiste and Wilson as if all three were co-equal originators obscures the specific Indigenous lineage and the Marshall elders' foundational role. Third, the syllabus's own “What this version still cannot see” section concedes that “Non-Western systems thought — African ubuntu cosmology, Andean sumak kawsay, Daoist process philosophy — appear at the margins.” This concession is honest, but it directly contradicts the framing claim that non-Western epistemologies are integrated rather than relegated.</w:t>
      </w:r>
    </w:p>
    <w:p>
      <w:r>
        <w:rPr>
          <w:rFonts w:ascii="Times New Roman" w:hAnsi="Times New Roman"/>
          <w:b w:val="0"/>
          <w:i w:val="0"/>
          <w:sz w:val="24"/>
        </w:rPr>
        <w:t>Implication. The structural improvement over a token-module approach is real and commendable; the claim of integration is aspirational rather than achieved. A more honest framing would be: “Non-Western epistemologies are placed within foundational modules, though they remain numerically marginal and unevenly attributed.”</w:t>
      </w:r>
    </w:p>
    <w:p>
      <w:pPr>
        <w:pStyle w:val="Heading3"/>
        <w:spacing w:before="240" w:after="120"/>
        <w:jc w:val="left"/>
      </w:pPr>
      <w:r>
        <w:rPr>
          <w:rFonts w:ascii="Arial" w:hAnsi="Arial"/>
          <w:b/>
          <w:sz w:val="24"/>
        </w:rPr>
        <w:t>Claim 4: Microlearning Format Is Adequate</w:t>
      </w:r>
    </w:p>
    <w:p>
      <w:r>
        <w:rPr>
          <w:rFonts w:ascii="Times New Roman" w:hAnsi="Times New Roman"/>
          <w:b w:val="0"/>
          <w:i w:val="0"/>
          <w:sz w:val="24"/>
        </w:rPr>
        <w:t>Claim: 500–800 words per lesson, with the specified 8-component structure, is adequate for the concepts in the syllabus.</w:t>
      </w:r>
    </w:p>
    <w:p>
      <w:r>
        <w:rPr>
          <w:rFonts w:ascii="Times New Roman" w:hAnsi="Times New Roman"/>
          <w:b w:val="0"/>
          <w:i w:val="0"/>
          <w:sz w:val="24"/>
        </w:rPr>
        <w:t>Evidence. The 8-component structure (Concept / Originator / Core Claim / Mechanism / Canonical Example / Conceptual Tension / Connection Node / Micro-Praxis / Zeigarnik Hook) is genuinely thoughtful: it forces every lesson to do more than describe, and the Zeigarnik Hook in particular is a sound pedagogical device for sustaining engagement across 74 sessions. For concepts that are essentially definitional — “Map ≠ Territory” (1.4), “Overton Window” (3.10), “Black Swans” (5.10) — the format is adequate, perhaps even ideal.</w:t>
      </w:r>
    </w:p>
    <w:p>
      <w:r>
        <w:rPr>
          <w:rFonts w:ascii="Times New Roman" w:hAnsi="Times New Roman"/>
          <w:b w:val="0"/>
          <w:i w:val="0"/>
          <w:sz w:val="24"/>
        </w:rPr>
        <w:t>Evidence against. For concepts whose adequate introduction is known to require extended argument, the format is inadequate. Specific cases: (a) Critical Realism's three-domain ontology (M1.10) cannot be responsibly compressed into two sentences without inviting the very confusion Fryer and Navarrete (2022) identify in even full-length expositions. (b) Foucault's episteme (M1.3) and biopower (M4.3) require at minimum the distinction between sovereign, disciplinary, and biopolitical power, which a 500-word lesson cannot develop without truncation. (c) Dependent Origination (M5.7) and Emptiness (śūnyatā) are routinely misread as nihilism even in graduate seminars; a 500-word lesson invites precisely the misreading the lesson warns against. (d) Wilber's AQAL (M8.5) is introduced and critiqued in the same lesson, which is pedagogically honest but cognitively punishing for a reader encountering the framework for the first time.</w:t>
      </w:r>
    </w:p>
    <w:p>
      <w:r>
        <w:rPr>
          <w:rFonts w:ascii="Times New Roman" w:hAnsi="Times New Roman"/>
          <w:b w:val="0"/>
          <w:i w:val="0"/>
          <w:sz w:val="24"/>
        </w:rPr>
        <w:t>Reasoning. The format-content mismatch is not uniform: it is acute for concepts that are counter-intuitive, internally differentiated, or routinely misread. The syllabus's own “CONCEPTUAL TENSION” component acknowledges that each concept has a paradox that “makes it alive,” but it underestimates how much space that tension requires to be fairly presented. The result is a syllabus that is excellent as a navigational index and uneven as a teaching text.</w:t>
      </w:r>
    </w:p>
    <w:p>
      <w:r>
        <w:rPr>
          <w:rFonts w:ascii="Times New Roman" w:hAnsi="Times New Roman"/>
          <w:b w:val="0"/>
          <w:i w:val="0"/>
          <w:sz w:val="24"/>
        </w:rPr>
        <w:t>Implication. The format is viable as a structured reading list paired with primary sources; it is not viable as a standalone curriculum. A learner who treats each lesson as a pointer to the originating text will benefit; a learner who treats each lesson as sufficient will form confident but compressed misunderstandings of exactly the kind the syllabus's M1.4 (Map ≠ Territory) warns against.</w:t>
      </w:r>
    </w:p>
    <w:p>
      <w:pPr>
        <w:pStyle w:val="Heading3"/>
        <w:spacing w:before="240" w:after="120"/>
        <w:jc w:val="left"/>
      </w:pPr>
      <w:r>
        <w:rPr>
          <w:rFonts w:ascii="Arial" w:hAnsi="Arial"/>
          <w:b/>
          <w:sz w:val="24"/>
        </w:rPr>
        <w:t>Claim 5: No Single Synthesis Framework Is Privileged</w:t>
      </w:r>
    </w:p>
    <w:p>
      <w:r>
        <w:rPr>
          <w:rFonts w:ascii="Times New Roman" w:hAnsi="Times New Roman"/>
          <w:b w:val="0"/>
          <w:i w:val="0"/>
          <w:sz w:val="24"/>
        </w:rPr>
        <w:t>Claim: the syllabus does not privilege any single synthesis framework.</w:t>
      </w:r>
    </w:p>
    <w:p>
      <w:r>
        <w:rPr>
          <w:rFonts w:ascii="Times New Roman" w:hAnsi="Times New Roman"/>
          <w:b w:val="0"/>
          <w:i w:val="0"/>
          <w:sz w:val="24"/>
        </w:rPr>
        <w:t>Evidence in favor. M8 explicitly includes Wilber “with its critique”; metamodernism is presented as oscillation rather than synthesis; Cynefin is presented as a situational ontology rather than a universal one; the capstone (M8.8) refuses to introduce a new concept and instead asks the learner to apply the full stack. This is a principled anti-synthesis stance, and it is rare in curricula of this ambition.</w:t>
      </w:r>
    </w:p>
    <w:p>
      <w:r>
        <w:rPr>
          <w:rFonts w:ascii="Times New Roman" w:hAnsi="Times New Roman"/>
          <w:b w:val="0"/>
          <w:i w:val="0"/>
          <w:sz w:val="24"/>
        </w:rPr>
        <w:t>Evidence against. The claim is undermined by the syllabus's quiet privileging of two frameworks that are not marked as frameworks. First, predictive processing (M2.1, Friston/Clark) is presented as the dominant model of cognition without acknowledging the substantial internal debate within cognitive science about its empirical adequacy (cf. the recent exchanges in Synthese and the free-energy-formalism critiques by Colombo, Klein, and others). Second, the four-vector architecture itself functions as an implicit synthesis framework: it presupposes that critical, materialist, phenomenological, and ecological lenses are the four irreducible dimensions of any phenomenon, which is a strong metaphysical claim dressed as a curriculum design choice. The syllabus is reflexive about Wilber's metaphysics but not about its own.</w:t>
      </w:r>
    </w:p>
    <w:p>
      <w:r>
        <w:rPr>
          <w:rFonts w:ascii="Times New Roman" w:hAnsi="Times New Roman"/>
          <w:b w:val="0"/>
          <w:i w:val="0"/>
          <w:sz w:val="24"/>
        </w:rPr>
        <w:t>Implication. The claim is half-true. The syllabus resists explicit synthesis frameworks while operating within an implicit one. A more rigorous reflexivity would name the four-vector architecture as itself a hypothesis and subject it to the same scrutiny applied to AQAL.</w:t>
      </w:r>
    </w:p>
    <w:p>
      <w:pPr>
        <w:pStyle w:val="Heading2"/>
        <w:spacing w:before="240" w:after="120"/>
        <w:jc w:val="left"/>
      </w:pPr>
      <w:r>
        <w:rPr>
          <w:rFonts w:ascii="Arial" w:hAnsi="Arial"/>
          <w:b/>
          <w:sz w:val="28"/>
        </w:rPr>
        <w:t>Strengths</w:t>
      </w:r>
    </w:p>
    <w:p>
      <w:r>
        <w:rPr>
          <w:rFonts w:ascii="Times New Roman" w:hAnsi="Times New Roman"/>
          <w:b w:val="0"/>
          <w:i w:val="0"/>
          <w:sz w:val="24"/>
        </w:rPr>
        <w:t>The syllabus has real strengths, several of which are unusual in this genre.</w:t>
      </w:r>
    </w:p>
    <w:p>
      <w:pPr>
        <w:pStyle w:val="ListBullet"/>
        <w:spacing w:after="80"/>
      </w:pPr>
      <w:r>
        <w:rPr>
          <w:rFonts w:ascii="Times New Roman" w:hAnsi="Times New Roman"/>
          <w:b/>
          <w:sz w:val="24"/>
        </w:rPr>
        <w:t xml:space="preserve">Architectural seriousness — </w:t>
      </w:r>
      <w:r>
        <w:rPr>
          <w:rFonts w:ascii="Times New Roman" w:hAnsi="Times New Roman"/>
          <w:sz w:val="24"/>
        </w:rPr>
        <w:t>the sequence rationale is not decorative. The dependency from standpoint → epistemics → cognition → social construction → power → systems → political economy → digital → synthesis is a genuine argumentative chain, not a topical list. Most interdisciplinary theory surveys default to either chronological or thematic ordering; this one attempts logical ordering and largely succeeds.</w:t>
      </w:r>
    </w:p>
    <w:p>
      <w:pPr>
        <w:pStyle w:val="ListBullet"/>
        <w:spacing w:after="80"/>
      </w:pPr>
      <w:r>
        <w:rPr>
          <w:rFonts w:ascii="Times New Roman" w:hAnsi="Times New Roman"/>
          <w:b/>
          <w:sz w:val="24"/>
        </w:rPr>
        <w:t xml:space="preserve">Cross-referencing as structural requirement — </w:t>
      </w:r>
      <w:r>
        <w:rPr>
          <w:rFonts w:ascii="Times New Roman" w:hAnsi="Times New Roman"/>
          <w:sz w:val="24"/>
        </w:rPr>
        <w:t>the “Connection Node” component of each lesson is specified as “≥1 explicit cross-link to prior lesson” with the rule “cross-references are load-bearing.” This is the correct way to enforce non-linearity in a linear medium. If the lessons are actually written to this specification, the resulting curriculum would have genuine network structure rather than the false linearity of most courses.</w:t>
      </w:r>
    </w:p>
    <w:p>
      <w:pPr>
        <w:pStyle w:val="ListBullet"/>
        <w:spacing w:after="80"/>
      </w:pPr>
      <w:r>
        <w:rPr>
          <w:rFonts w:ascii="Times New Roman" w:hAnsi="Times New Roman"/>
          <w:b/>
          <w:sz w:val="24"/>
        </w:rPr>
        <w:t xml:space="preserve">Self-acknowledged limitations — </w:t>
      </w:r>
      <w:r>
        <w:rPr>
          <w:rFonts w:ascii="Times New Roman" w:hAnsi="Times New Roman"/>
          <w:sz w:val="24"/>
        </w:rPr>
        <w:t>the inclusion of a “What this version still cannot see” section is a rare and commendable act of curricular honesty. Naming aesthetic epistemology, queer theory beyond Butler, non-Western systems thought, and the body at scale as absent is the kind of reflexive move the syllabus's own M1 (positionality) demands. Few curricula of any provenance do this.</w:t>
      </w:r>
    </w:p>
    <w:p>
      <w:pPr>
        <w:pStyle w:val="ListBullet"/>
        <w:spacing w:after="80"/>
      </w:pPr>
      <w:r>
        <w:rPr>
          <w:rFonts w:ascii="Times New Roman" w:hAnsi="Times New Roman"/>
          <w:b/>
          <w:sz w:val="24"/>
        </w:rPr>
        <w:t xml:space="preserve">Principled treatment of contested synthesizers — </w:t>
      </w:r>
      <w:r>
        <w:rPr>
          <w:rFonts w:ascii="Times New Roman" w:hAnsi="Times New Roman"/>
          <w:sz w:val="24"/>
        </w:rPr>
        <w:t>M8.5 includes Wilber “with its critique” and explicitly names “developmental hierarchy, Eurocentric metaphysics, and political positions” as contested. This is the correct way to handle a powerful but ideologically loaded framework: use the map, interrogate the mapmaker. The same move is made, less explicitly, for Soros on reflexivity (M5.9) and for Haidt (M2.7, M3.7).</w:t>
      </w:r>
    </w:p>
    <w:p>
      <w:pPr>
        <w:pStyle w:val="ListBullet"/>
        <w:spacing w:after="80"/>
      </w:pPr>
      <w:r>
        <w:rPr>
          <w:rFonts w:ascii="Times New Roman" w:hAnsi="Times New Roman"/>
          <w:b/>
          <w:sz w:val="24"/>
        </w:rPr>
        <w:t xml:space="preserve">Non-Western thought placed foundationally — </w:t>
      </w:r>
      <w:r>
        <w:rPr>
          <w:rFonts w:ascii="Times New Roman" w:hAnsi="Times New Roman"/>
          <w:sz w:val="24"/>
        </w:rPr>
        <w:t>the placement of Indigenous epistemologies (M1.9) and Buddhist metaphysics (M2.9, M5.7) within foundational modules, rather than in a separate “alternative epistemologies” module, is structurally correct even if numerically thin. It models the right gesture even where it does not fully execute it.</w:t>
      </w:r>
    </w:p>
    <w:p>
      <w:pPr>
        <w:pStyle w:val="ListBullet"/>
        <w:spacing w:after="80"/>
      </w:pPr>
      <w:r>
        <w:rPr>
          <w:rFonts w:ascii="Times New Roman" w:hAnsi="Times New Roman"/>
          <w:b/>
          <w:sz w:val="24"/>
        </w:rPr>
        <w:t xml:space="preserve">Register rotation — </w:t>
      </w:r>
      <w:r>
        <w:rPr>
          <w:rFonts w:ascii="Times New Roman" w:hAnsi="Times New Roman"/>
          <w:sz w:val="24"/>
        </w:rPr>
        <w:t>the rotation requirement across empirical / philosophical / contemplative registers is a sophisticated design choice. It resists the default of interdisciplinary curricula to drift toward a single register (usually philosophical) and instead forces epistemic pluralism at the level of voice.</w:t>
      </w:r>
    </w:p>
    <w:p>
      <w:pPr>
        <w:pStyle w:val="ListBullet"/>
        <w:spacing w:after="80"/>
      </w:pPr>
      <w:r>
        <w:rPr>
          <w:rFonts w:ascii="Times New Roman" w:hAnsi="Times New Roman"/>
          <w:b/>
          <w:sz w:val="24"/>
        </w:rPr>
        <w:t xml:space="preserve">Zeigarnik Hook as design pattern — </w:t>
      </w:r>
      <w:r>
        <w:rPr>
          <w:rFonts w:ascii="Times New Roman" w:hAnsi="Times New Roman"/>
          <w:sz w:val="24"/>
        </w:rPr>
        <w:t>the Zeigarnik Hook (one unresolved generative question, no answer) is pedagogically sound: it leverages the well-documented memory advantage of unresolved tasks to sustain engagement across a 10-week arc. It also resists the syllabus's own temptation toward closure, which is itself a lesson in M8's anti-synthesis stance.</w:t>
      </w:r>
    </w:p>
    <w:p>
      <w:pPr>
        <w:pStyle w:val="Heading2"/>
        <w:spacing w:before="240" w:after="120"/>
        <w:jc w:val="left"/>
      </w:pPr>
      <w:r>
        <w:rPr>
          <w:rFonts w:ascii="Arial" w:hAnsi="Arial"/>
          <w:b/>
          <w:sz w:val="28"/>
        </w:rPr>
        <w:t>Weaknesses</w:t>
      </w:r>
    </w:p>
    <w:p>
      <w:r>
        <w:rPr>
          <w:rFonts w:ascii="Times New Roman" w:hAnsi="Times New Roman"/>
          <w:b w:val="0"/>
          <w:i w:val="0"/>
          <w:sz w:val="24"/>
        </w:rPr>
        <w:t>The weaknesses are more consequential than the strengths, because they affect the syllabus's reliability as an introduction to contested ideas. Each is rated for severity, with trigger conditions and scope.</w:t>
      </w:r>
    </w:p>
    <w:p>
      <w:pPr>
        <w:pStyle w:val="ListBullet"/>
        <w:spacing w:after="80"/>
      </w:pPr>
      <w:r>
        <w:rPr>
          <w:rFonts w:ascii="Times New Roman" w:hAnsi="Times New Roman"/>
          <w:b/>
          <w:sz w:val="24"/>
        </w:rPr>
        <w:t xml:space="preserve">Attributional looseness — </w:t>
      </w:r>
      <w:r>
        <w:rPr>
          <w:rFonts w:ascii="Times New Roman" w:hAnsi="Times New Roman"/>
          <w:sz w:val="24"/>
        </w:rPr>
        <w:t>Severity: High. Trigger: any lesson whose “originator(s)” cell is read as citation. Scope: the entire “originator(s)” column. The most egregious cases identified in verification: (a) M7.8 attributes “Stochastic Parrots” to “Bender / Gebru / LeCun,” but Yann LeCun has publicly and repeatedly disagreed with the stochastic-parrots framing of LLMs; listing him as a co-originator of the concept is misleading. (b) M5.9 attributes reflexivity to “Soros / Bourdieu,” but Soros's reflexivity (financial markets, fallibility, the cognitive and participative functions) and Bourdieu's reflexivity (sociological epistemic reflexivity against the epistemic privilege of the knowing subject) are distinct concepts that share a name. (c) M1.5 attributes Bayesian epistemology to “Bayes / Laplace,” which is historically defensible for Bayes's theorem but elides the 20th-century architects of Bayesian epistemology as a philosophical program (Ramsey, de Finetti, Savage, Jeffrey). (d) M1.9 attributes Two-Eyed Seeing to “Battiste / Wilson / Two-Eyed Seeing,” conflating the Marshall elders' framework with later scholarly elaborators. (e) M8.4 attributes metamododernism to “Freinacht / Vermeulen &amp; van den Akker,” conflating the academic cultural-theory project (Vermeulen &amp; van den Akker, 2010) with the separate Nordic political-philosophical project (Hanzi Freinacht). These are not pedantic complaints: they are the difference between a syllabus that teaches how ideas are made and a syllabus that flattens intellectual history.</w:t>
      </w:r>
    </w:p>
    <w:p>
      <w:pPr>
        <w:pStyle w:val="ListBullet"/>
        <w:spacing w:after="80"/>
      </w:pPr>
      <w:r>
        <w:rPr>
          <w:rFonts w:ascii="Times New Roman" w:hAnsi="Times New Roman"/>
          <w:b/>
          <w:sz w:val="24"/>
        </w:rPr>
        <w:t xml:space="preserve">Contested theories presented as settled — </w:t>
      </w:r>
      <w:r>
        <w:rPr>
          <w:rFonts w:ascii="Times New Roman" w:hAnsi="Times New Roman"/>
          <w:sz w:val="24"/>
        </w:rPr>
        <w:t>Severity: High. Trigger: any lesson that presents a contested empirical claim as settled. Scope: M2.3, M2.1, M6.7, M5.7. The most consequential case is M2.3 (Polyvagal Theory), which is presented as “the autonomic nervous system operates hierarchically (ventral vagal → sympathetic → dorsal vagal),” with no mention that Porges's theory has been the subject of sustained critique (Grossman &amp; Taylor, and the broader exchange continuing through 2025–2026 in journals such as Clinical Neuropsychiatry and Frontiers). The lesson's claim that “the nervous system is a political apparatus” layers a further extrapolation on an already contested foundation. A syllabus that denounces the “view from nowhere” in M1.1 owes its readers the same reflexive treatment of its own favored empirical frameworks.</w:t>
      </w:r>
    </w:p>
    <w:p>
      <w:pPr>
        <w:pStyle w:val="ListBullet"/>
        <w:spacing w:after="80"/>
      </w:pPr>
      <w:r>
        <w:rPr>
          <w:rFonts w:ascii="Times New Roman" w:hAnsi="Times New Roman"/>
          <w:b/>
          <w:sz w:val="24"/>
        </w:rPr>
        <w:t xml:space="preserve">Format-content mismatch — </w:t>
      </w:r>
      <w:r>
        <w:rPr>
          <w:rFonts w:ascii="Times New Roman" w:hAnsi="Times New Roman"/>
          <w:sz w:val="24"/>
        </w:rPr>
        <w:t>Severity: Medium-High. Trigger: any reader who treats a lesson as sufficient. Scope: M1.3, M1.10, M2.1, M2.9, M4.3, M5.7, M8.5, M8.7. As detailed in Claim 4 above, the 500–800-word format is adequate for definitional concepts but inadequate for concepts that are counter-intuitive, internally differentiated, or routinely misread. The syllabus's lesson structure includes a “Conceptual Tension” component that acknowledges this, but it underestimates the space the tension requires.</w:t>
      </w:r>
    </w:p>
    <w:p>
      <w:pPr>
        <w:pStyle w:val="ListBullet"/>
        <w:spacing w:after="80"/>
      </w:pPr>
      <w:r>
        <w:rPr>
          <w:rFonts w:ascii="Times New Roman" w:hAnsi="Times New Roman"/>
          <w:b/>
          <w:sz w:val="24"/>
        </w:rPr>
        <w:t xml:space="preserve">Uneven vector integration — </w:t>
      </w:r>
      <w:r>
        <w:rPr>
          <w:rFonts w:ascii="Times New Roman" w:hAnsi="Times New Roman"/>
          <w:sz w:val="24"/>
        </w:rPr>
        <w:t>Severity: Medium. Trigger: any reader expecting the four-vector integration claimed in the framing. Scope: M2, M3, M4, M7. As detailed in Claim 2, the Ecological/More-than-human vector is absent from M2 (cognition), M3 (social construction), M4 (power), and M7 (digital) — exactly the modules where a more-than-human framing would most challenge the syllabus's anthropocentric default. The contemplative vector is concentrated in M2 and M8 rather than distributed. The framing promises more integration than the structure delivers.</w:t>
      </w:r>
    </w:p>
    <w:p>
      <w:pPr>
        <w:pStyle w:val="ListBullet"/>
        <w:spacing w:after="80"/>
      </w:pPr>
      <w:r>
        <w:rPr>
          <w:rFonts w:ascii="Times New Roman" w:hAnsi="Times New Roman"/>
          <w:b/>
          <w:sz w:val="24"/>
        </w:rPr>
        <w:t xml:space="preserve">Module length asymmetry — </w:t>
      </w:r>
      <w:r>
        <w:rPr>
          <w:rFonts w:ascii="Times New Roman" w:hAnsi="Times New Roman"/>
          <w:sz w:val="24"/>
        </w:rPr>
        <w:t>Severity: Medium. Trigger: any module where lesson count differs. Scope: M7 (8 lessons) and M8 (8 lessons) vs. M1–M6 (10 each). The unevenness is not flagged in the syllabus's framing. The reduction in M7 is especially consequential because the digital module is the one most directly relevant to the contemporary reader's lived information environment, and where additional concepts (e.g., attention economy beyond the brief appearance in M3.10, platform cooperativism as a counterweight to M6.6, synthetic media beyond the brief mention in M7.8) would have been most warranted.</w:t>
      </w:r>
    </w:p>
    <w:p>
      <w:pPr>
        <w:pStyle w:val="ListBullet"/>
        <w:spacing w:after="80"/>
      </w:pPr>
      <w:r>
        <w:rPr>
          <w:rFonts w:ascii="Times New Roman" w:hAnsi="Times New Roman"/>
          <w:b/>
          <w:sz w:val="24"/>
        </w:rPr>
        <w:t xml:space="preserve">Micro-praxis scope creep — </w:t>
      </w:r>
      <w:r>
        <w:rPr>
          <w:rFonts w:ascii="Times New Roman" w:hAnsi="Times New Roman"/>
          <w:sz w:val="24"/>
        </w:rPr>
        <w:t>Severity: Low-Medium. Trigger: any reader who attempts the 90-second exercise without prior contemplative training. Scope: M8.7 specifically, and any lesson whose micro-praxis presumes a skill the reader does not have. The contemplative epistemics lesson (M8.7) asks the reader to engage in first-person inquiry as “rigorous method,” but a 90-second exercise cannot instantiate the method; it can only gesture at it. The risk is that contemplative practice appears trivial rather than arduous.</w:t>
      </w:r>
    </w:p>
    <w:p>
      <w:pPr>
        <w:pStyle w:val="ListBullet"/>
        <w:spacing w:after="80"/>
      </w:pPr>
      <w:r>
        <w:rPr>
          <w:rFonts w:ascii="Times New Roman" w:hAnsi="Times New Roman"/>
          <w:b/>
          <w:sz w:val="24"/>
        </w:rPr>
        <w:t xml:space="preserve">Recency bias in canonical examples — </w:t>
      </w:r>
      <w:r>
        <w:rPr>
          <w:rFonts w:ascii="Times New Roman" w:hAnsi="Times New Roman"/>
          <w:sz w:val="24"/>
        </w:rPr>
        <w:t>Severity: Low. Trigger: any reader expecting the post-2020 canonical example to be representative. Scope: every lesson (per the mandatory lesson structure). The requirement of a “post-2020, specific, non-obvious” canonical example is excellent in principle but invites forced recency: a 2023 example that does not survive to 2026 will date the lesson, and the pressure to be “non-obvious” may push examples toward the idiosyncratic rather than the illustrative. The syllabus does not specify a fallback for concepts whose canonical example is necessarily pre-2020.</w:t>
      </w:r>
    </w:p>
    <w:p>
      <w:pPr>
        <w:pStyle w:val="Heading2"/>
        <w:spacing w:before="240" w:after="120"/>
        <w:jc w:val="left"/>
      </w:pPr>
      <w:r>
        <w:rPr>
          <w:rFonts w:ascii="Arial" w:hAnsi="Arial"/>
          <w:b/>
          <w:sz w:val="28"/>
        </w:rPr>
        <w:t>Counterarguments (and Responses)</w:t>
      </w:r>
    </w:p>
    <w:p>
      <w:r>
        <w:rPr>
          <w:rFonts w:ascii="Times New Roman" w:hAnsi="Times New Roman"/>
          <w:b w:val="0"/>
          <w:i w:val="0"/>
          <w:sz w:val="24"/>
        </w:rPr>
        <w:t>A serious review must steelman the strongest objections to its own stance. Two counterarguments deserve extended treatment.</w:t>
      </w:r>
    </w:p>
    <w:p>
      <w:pPr>
        <w:pStyle w:val="Heading3"/>
        <w:spacing w:before="240" w:after="120"/>
        <w:jc w:val="left"/>
      </w:pPr>
      <w:r>
        <w:rPr>
          <w:rFonts w:ascii="Arial" w:hAnsi="Arial"/>
          <w:b/>
          <w:sz w:val="24"/>
        </w:rPr>
        <w:t>Counterargument A: The Microlearning Format Is Precisely Correct</w:t>
      </w:r>
    </w:p>
    <w:p>
      <w:r>
        <w:rPr>
          <w:rFonts w:ascii="Times New Roman" w:hAnsi="Times New Roman"/>
          <w:b w:val="0"/>
          <w:i w:val="0"/>
          <w:sz w:val="24"/>
        </w:rPr>
        <w:t>Steelman. The syllabus is designed for an attention environment in which the competition for the reader's time is total. A 500–800-word lesson that can be read in 5–10 minutes is not a compromise with the attention economy; it is the only format with realistic completion rates across a 74-lesson arc. The competitor to this syllabus is not a graduate seminar; it is no syllabus at all. By that standard, the syllabus's design choices — short lessons, daily cadence, Zeigarnik hooks, cross-references that reward rather than punish returning — are calibrated to actual human reading behavior in 2026. The format-content mismatch identified in this review is real but is the wrong frame: the syllabus is not trying to teach the concepts in their full depth; it is trying to install a vocabulary and a network of pointers that the reader can later expand. judged by that goal, the format is correct.</w:t>
      </w:r>
    </w:p>
    <w:p>
      <w:r>
        <w:rPr>
          <w:rFonts w:ascii="Times New Roman" w:hAnsi="Times New Roman"/>
          <w:b w:val="0"/>
          <w:i w:val="0"/>
          <w:sz w:val="24"/>
        </w:rPr>
        <w:t>Response. This counterargument is largely correct and is the reason this review offers a Conditional rather than Not Recommend verdict. The critique is not that the format is wrong; it is that the syllabus's framing language oversells what the format can deliver. The lesson structure specifies “MECHANISM — How it actually operates in reality,” which promises depth that 500 words cannot provide for the concepts in question. A more honest framing — “Mechanism: a pointer to how it operates, with a primary-source citation for the full account” — would resolve the tension without abandoning the format. The counterargument therefore refines rather than refutes the critique.</w:t>
      </w:r>
    </w:p>
    <w:p>
      <w:pPr>
        <w:pStyle w:val="Heading3"/>
        <w:spacing w:before="240" w:after="120"/>
        <w:jc w:val="left"/>
      </w:pPr>
      <w:r>
        <w:rPr>
          <w:rFonts w:ascii="Arial" w:hAnsi="Arial"/>
          <w:b/>
          <w:sz w:val="24"/>
        </w:rPr>
        <w:t>Counterargument B: Originator Attribution Is Heuristic, Not Encyclopedic</w:t>
      </w:r>
    </w:p>
    <w:p>
      <w:r>
        <w:rPr>
          <w:rFonts w:ascii="Times New Roman" w:hAnsi="Times New Roman"/>
          <w:b w:val="0"/>
          <w:i w:val="0"/>
          <w:sz w:val="24"/>
        </w:rPr>
        <w:t>Steelman. The “originator(s)” column is a teaching device, not a citation. Its purpose is to give the reader a memorable name or pair of names to associate with each concept, so that the concept becomes retrievable. Listing Soros alongside Bourdieu for reflexivity is pedagogically useful because both names are retrievable for general readers in a way that, say, “Ashmore (1989)” is not. Listing LeCun alongside Bender and Gebru for stochastic parrots signals that the LLM debate is contested, even if it misattributes the originating position. The syllabus's “Conceptual Tension” component is the designated site for contestation; the originator column is for orientation. Demanding citation-grade attribution from a microlearning syllabus is a category error.</w:t>
      </w:r>
    </w:p>
    <w:p>
      <w:r>
        <w:rPr>
          <w:rFonts w:ascii="Times New Roman" w:hAnsi="Times New Roman"/>
          <w:b w:val="0"/>
          <w:i w:val="0"/>
          <w:sz w:val="24"/>
        </w:rPr>
        <w:t>Response. This counterargument is partly persuasive but ultimately fails on two grounds. First, the heuristic value of attribution depends on the attribution being approximately correct; the Soros/Bourdieu conflation teaches a falsehood (that the two concepts are the same) that is harder to unlearn than a missing citation would be to supply. Second, the LeCun/Bender/Gebru case is worse than a heuristic: it teaches that LeCun co-originated the stochastic parrots position, which is the opposite of his publicly stated view. A reader who later encounters LeCun's actual position will experience the syllabus as having misled them. The fix is cheap: replace the column with “Key Figures” (which permits inclusion of critics and popularizers) rather than “Originator(s)” (which implies origination). The counterargument therefore supports the critique's specific recommendation rather than defeating it.</w:t>
      </w:r>
    </w:p>
    <w:p>
      <w:pPr>
        <w:pStyle w:val="Heading3"/>
        <w:spacing w:before="240" w:after="120"/>
        <w:jc w:val="left"/>
      </w:pPr>
      <w:r>
        <w:rPr>
          <w:rFonts w:ascii="Arial" w:hAnsi="Arial"/>
          <w:b/>
          <w:sz w:val="24"/>
        </w:rPr>
        <w:t>Counterargument C: The Syllabus Is Self-Aware About Its Limits</w:t>
      </w:r>
    </w:p>
    <w:p>
      <w:r>
        <w:rPr>
          <w:rFonts w:ascii="Times New Roman" w:hAnsi="Times New Roman"/>
          <w:b w:val="0"/>
          <w:i w:val="0"/>
          <w:sz w:val="24"/>
        </w:rPr>
        <w:t>Steelman. The “What this version still cannot see” section explicitly names the absence of aesthetic epistemology, queer theory beyond Butler, non-Western systems thought, and the body at scale. A syllabus that names its own blind spots has already performed the reflexive move this review demands; asking it to also fix the blind spots is to demand an impossible completeness. The honest move is to credit the self-awareness and lower the severity of the critique accordingly.</w:t>
      </w:r>
    </w:p>
    <w:p>
      <w:r>
        <w:rPr>
          <w:rFonts w:ascii="Times New Roman" w:hAnsi="Times New Roman"/>
          <w:b w:val="0"/>
          <w:i w:val="0"/>
          <w:sz w:val="24"/>
        </w:rPr>
        <w:t>Response. This counterargument is correct for the four named absences, and this review does credit the self-awareness (see Strengths). It does not extend to the weaknesses this review identifies, because none of them — attributional looseness, contested theories presented as settled, format-content mismatch for the most dense concepts, uneven vector integration — are named in the syllabus's self-critique. The syllabus is reflexive about its content omissions but not about its methodological choices. The two reflexivities are different, and only the first is performed.</w:t>
      </w:r>
    </w:p>
    <w:p>
      <w:pPr>
        <w:pStyle w:val="Heading2"/>
        <w:spacing w:before="240" w:after="120"/>
        <w:jc w:val="left"/>
      </w:pPr>
      <w:r>
        <w:rPr>
          <w:rFonts w:ascii="Arial" w:hAnsi="Arial"/>
          <w:b/>
          <w:sz w:val="28"/>
        </w:rPr>
        <w:t>Recommendations — Audience Fit and Practical Guidance</w:t>
      </w:r>
    </w:p>
    <w:p>
      <w:pPr>
        <w:pStyle w:val="Heading3"/>
        <w:spacing w:before="240" w:after="120"/>
        <w:jc w:val="left"/>
      </w:pPr>
      <w:r>
        <w:rPr>
          <w:rFonts w:ascii="Arial" w:hAnsi="Arial"/>
          <w:b/>
          <w:sz w:val="24"/>
        </w:rPr>
        <w:t>Who it fits</w:t>
      </w:r>
    </w:p>
    <w:p>
      <w:pPr>
        <w:pStyle w:val="ListBullet"/>
        <w:spacing w:after="80"/>
      </w:pPr>
      <w:r>
        <w:rPr>
          <w:rFonts w:ascii="Times New Roman" w:hAnsi="Times New Roman"/>
          <w:sz w:val="24"/>
        </w:rPr>
        <w:t>Autodidacts with prior philosophical or theoretical training who want a navigational map of contemporary interdisciplinary theory and are willing to use each lesson as a pointer to primary sources.</w:t>
      </w:r>
    </w:p>
    <w:p>
      <w:pPr>
        <w:pStyle w:val="ListBullet"/>
        <w:spacing w:after="80"/>
      </w:pPr>
      <w:r>
        <w:rPr>
          <w:rFonts w:ascii="Times New Roman" w:hAnsi="Times New Roman"/>
          <w:sz w:val="24"/>
        </w:rPr>
        <w:t>Graduate students in adjacent fields (e.g., a computer scientist wanting a map of critical theory, or a literary scholar wanting a map of complexity science) who can supply disciplinary rigor on one side of the syllabus while learning the other.</w:t>
      </w:r>
    </w:p>
    <w:p>
      <w:pPr>
        <w:pStyle w:val="ListBullet"/>
        <w:spacing w:after="80"/>
      </w:pPr>
      <w:r>
        <w:rPr>
          <w:rFonts w:ascii="Times New Roman" w:hAnsi="Times New Roman"/>
          <w:sz w:val="24"/>
        </w:rPr>
        <w:t>Reading-group organizers who want a pre-built 10-week arc with cross-references and a lesson structure that supports discussion. The “Conceptual Tension” and “Zeigarnik Hook” components are excellent discussion prompts.</w:t>
      </w:r>
    </w:p>
    <w:p>
      <w:pPr>
        <w:pStyle w:val="ListBullet"/>
        <w:spacing w:after="80"/>
      </w:pPr>
      <w:r>
        <w:rPr>
          <w:rFonts w:ascii="Times New Roman" w:hAnsi="Times New Roman"/>
          <w:sz w:val="24"/>
        </w:rPr>
        <w:t>Curriculum designers studying the genre of microlearning syllabi as a form. The syllabus is itself a值得-studied artifact regardless of whether one adopts it.</w:t>
      </w:r>
    </w:p>
    <w:p>
      <w:pPr>
        <w:pStyle w:val="Heading3"/>
        <w:spacing w:before="240" w:after="120"/>
        <w:jc w:val="left"/>
      </w:pPr>
      <w:r>
        <w:rPr>
          <w:rFonts w:ascii="Arial" w:hAnsi="Arial"/>
          <w:b/>
          <w:sz w:val="24"/>
        </w:rPr>
        <w:t>Who it does not fit</w:t>
      </w:r>
    </w:p>
    <w:p>
      <w:pPr>
        <w:pStyle w:val="ListBullet"/>
        <w:spacing w:after="80"/>
      </w:pPr>
      <w:r>
        <w:rPr>
          <w:rFonts w:ascii="Times New Roman" w:hAnsi="Times New Roman"/>
          <w:sz w:val="24"/>
        </w:rPr>
        <w:t>Beginners with no prior philosophical training. The compression rate is too high and the assumed vocabulary too large; the syllabus will produce confident misunderstandings of exactly the kind M1.4 warns against.</w:t>
      </w:r>
    </w:p>
    <w:p>
      <w:pPr>
        <w:pStyle w:val="ListBullet"/>
        <w:spacing w:after="80"/>
      </w:pPr>
      <w:r>
        <w:rPr>
          <w:rFonts w:ascii="Times New Roman" w:hAnsi="Times New Roman"/>
          <w:sz w:val="24"/>
        </w:rPr>
        <w:t>Learners seeking citable attribution. The “originator(s)” column is not citation-grade, as documented above, and using it as such will propagate errors.</w:t>
      </w:r>
    </w:p>
    <w:p>
      <w:pPr>
        <w:pStyle w:val="ListBullet"/>
        <w:spacing w:after="80"/>
      </w:pPr>
      <w:r>
        <w:rPr>
          <w:rFonts w:ascii="Times New Roman" w:hAnsi="Times New Roman"/>
          <w:sz w:val="24"/>
        </w:rPr>
        <w:t>Instructors seeking a credit-bearing curriculum without significant supplementation. The format-content mismatch for the densest concepts (M1.10, M2.1, M2.3, M5.7, M8.5, M8.7) requires primary-source assignment and seminar discussion to achieve college-level rigor.</w:t>
      </w:r>
    </w:p>
    <w:p>
      <w:pPr>
        <w:pStyle w:val="ListBullet"/>
        <w:spacing w:after="80"/>
      </w:pPr>
      <w:r>
        <w:rPr>
          <w:rFonts w:ascii="Times New Roman" w:hAnsi="Times New Roman"/>
          <w:sz w:val="24"/>
        </w:rPr>
        <w:t>Readers specifically interested in non-Western thought. Despite the framing, non-Western material remains numerically marginal and unevenly attributed.</w:t>
      </w:r>
    </w:p>
    <w:p>
      <w:pPr>
        <w:pStyle w:val="Heading3"/>
        <w:spacing w:before="240" w:after="120"/>
        <w:jc w:val="left"/>
      </w:pPr>
      <w:r>
        <w:rPr>
          <w:rFonts w:ascii="Arial" w:hAnsi="Arial"/>
          <w:b/>
          <w:sz w:val="24"/>
        </w:rPr>
        <w:t>Practical guidance (7 actionable tips)</w:t>
      </w:r>
    </w:p>
    <w:p>
      <w:pPr>
        <w:pStyle w:val="ListNumber"/>
      </w:pPr>
      <w:r>
        <w:rPr>
          <w:rFonts w:ascii="Times New Roman" w:hAnsi="Times New Roman"/>
          <w:sz w:val="24"/>
        </w:rPr>
        <w:t>Treat each lesson as a pointer, not a destination. For every lesson, locate and at least skim the primary source by the named originator before forming a judgment.</w:t>
      </w:r>
    </w:p>
    <w:p>
      <w:pPr>
        <w:pStyle w:val="ListNumber"/>
      </w:pPr>
      <w:r>
        <w:rPr>
          <w:rFonts w:ascii="Times New Roman" w:hAnsi="Times New Roman"/>
          <w:sz w:val="24"/>
        </w:rPr>
        <w:t>Verify the attribution before citing. The “originator(s)” column is heuristic; cross-check against the Stanford Encyclopedia of Philosophy or the relevant  disciplinary handbook before relying on it.</w:t>
      </w:r>
    </w:p>
    <w:p>
      <w:pPr>
        <w:pStyle w:val="ListNumber"/>
      </w:pPr>
      <w:r>
        <w:rPr>
          <w:rFonts w:ascii="Times New Roman" w:hAnsi="Times New Roman"/>
          <w:sz w:val="24"/>
        </w:rPr>
        <w:t>Treat the four-vector framing as a hypothesis, not a given. Ask, for each module, whether the contemplative and ecological vectors are genuinely present or merely gestured at.</w:t>
      </w:r>
    </w:p>
    <w:p>
      <w:pPr>
        <w:pStyle w:val="ListNumber"/>
      </w:pPr>
      <w:r>
        <w:rPr>
          <w:rFonts w:ascii="Times New Roman" w:hAnsi="Times New Roman"/>
          <w:sz w:val="24"/>
        </w:rPr>
        <w:t>Read M2.3 (Polyvagal Theory) and M7.8 (Stochastic Parrots) alongside their critiques. For polyvagal theory, consult the Grossman/Taylor critique and Porges's response. For LLMs, consult LeCun's actual position alongside Bender and Gebru.</w:t>
      </w:r>
    </w:p>
    <w:p>
      <w:pPr>
        <w:pStyle w:val="ListNumber"/>
      </w:pPr>
      <w:r>
        <w:rPr>
          <w:rFonts w:ascii="Times New Roman" w:hAnsi="Times New Roman"/>
          <w:sz w:val="24"/>
        </w:rPr>
        <w:t>Pair the syllabus with at least one primary source per module. Suggested pairings: M1 with Harding's Whose Science? Whose Knowledge?; M2 with Clark's Surfing Uncertainty; M3 with Butler's Gender Trouble; M4 with Mbembe's Necropolitics; M5 with Morton's Hyperobjects; M6 with Fraser's Cannibal Capitalism; M7 with Zuboff's The Age of Surveillance Capitalism; M8 with the Freinacht/Vermeulen-van-den-Aker pair read against each other.</w:t>
      </w:r>
    </w:p>
    <w:p>
      <w:pPr>
        <w:pStyle w:val="ListNumber"/>
      </w:pPr>
      <w:r>
        <w:rPr>
          <w:rFonts w:ascii="Times New Roman" w:hAnsi="Times New Roman"/>
          <w:sz w:val="24"/>
        </w:rPr>
        <w:t>Use the Zeigarnik Hooks as journaling prompts. The unresolved questions are designed to compound; writing them down and revisiting them at the end of each module is the closest the format comes to producing synthesis.</w:t>
      </w:r>
    </w:p>
    <w:p>
      <w:pPr>
        <w:pStyle w:val="ListNumber"/>
      </w:pPr>
      <w:r>
        <w:rPr>
          <w:rFonts w:ascii="Times New Roman" w:hAnsi="Times New Roman"/>
          <w:sz w:val="24"/>
        </w:rPr>
        <w:t>Read the “What this version still cannot see” section first, not last. Knowing the syllabus's named blind spots before reading the lessons changes how each lesson is received.</w:t>
      </w:r>
    </w:p>
    <w:p>
      <w:pPr>
        <w:pStyle w:val="Heading3"/>
        <w:spacing w:before="240" w:after="120"/>
        <w:jc w:val="left"/>
      </w:pPr>
      <w:r>
        <w:rPr>
          <w:rFonts w:ascii="Arial" w:hAnsi="Arial"/>
          <w:b/>
          <w:sz w:val="24"/>
        </w:rPr>
        <w:t>Alternatives</w:t>
      </w:r>
    </w:p>
    <w:p>
      <w:pPr>
        <w:pStyle w:val="ListBullet"/>
        <w:spacing w:after="80"/>
      </w:pPr>
      <w:r>
        <w:rPr>
          <w:rFonts w:ascii="Times New Roman" w:hAnsi="Times New Roman"/>
          <w:b/>
          <w:sz w:val="24"/>
        </w:rPr>
        <w:t xml:space="preserve">For a more rigorous alternative: </w:t>
      </w:r>
      <w:r>
        <w:rPr>
          <w:rFonts w:ascii="Times New Roman" w:hAnsi="Times New Roman"/>
          <w:sz w:val="24"/>
        </w:rPr>
        <w:t>MIT OpenCourseWare's interdisciplinary offerings in STS and CMS — longer-format, institutionally vetted, and free. Less ambitious in synthesis but more reliable in attribution.</w:t>
      </w:r>
    </w:p>
    <w:p>
      <w:pPr>
        <w:pStyle w:val="ListBullet"/>
        <w:spacing w:after="80"/>
      </w:pPr>
      <w:r>
        <w:rPr>
          <w:rFonts w:ascii="Times New Roman" w:hAnsi="Times New Roman"/>
          <w:b/>
          <w:sz w:val="24"/>
        </w:rPr>
        <w:t xml:space="preserve">For a mid-format alternative: </w:t>
      </w:r>
      <w:r>
        <w:rPr>
          <w:rFonts w:ascii="Times New Roman" w:hAnsi="Times New Roman"/>
          <w:sz w:val="24"/>
        </w:rPr>
        <w:t>Verso's “Verso Books” syllabus series and the Brooklyn Institute for Social Research's public syllabi — shorter than a full course, longer than microlearning, with named instructors and reading lists.</w:t>
      </w:r>
    </w:p>
    <w:p>
      <w:pPr>
        <w:pStyle w:val="ListBullet"/>
        <w:spacing w:after="80"/>
      </w:pPr>
      <w:r>
        <w:rPr>
          <w:rFonts w:ascii="Times New Roman" w:hAnsi="Times New Roman"/>
          <w:b/>
          <w:sz w:val="24"/>
        </w:rPr>
        <w:t xml:space="preserve">For a self-directed alternative: </w:t>
      </w:r>
      <w:r>
        <w:rPr>
          <w:rFonts w:ascii="Times New Roman" w:hAnsi="Times New Roman"/>
          <w:sz w:val="24"/>
        </w:rPr>
        <w:t>The Stanford Encyclopedia of Philosophy, used directly as a non-linear curriculum — more authoritative than any syllabus, less architecturally curated, but available for free and continuously updated.</w:t>
      </w:r>
    </w:p>
    <w:p>
      <w:pPr>
        <w:pStyle w:val="Heading2"/>
        <w:spacing w:before="240" w:after="120"/>
        <w:jc w:val="left"/>
      </w:pPr>
      <w:r>
        <w:rPr>
          <w:rFonts w:ascii="Arial" w:hAnsi="Arial"/>
          <w:b/>
          <w:sz w:val="28"/>
        </w:rPr>
        <w:t>Verdict — Final Judgment</w:t>
      </w:r>
    </w:p>
    <w:p>
      <w:r>
        <w:rPr>
          <w:rFonts w:ascii="Times New Roman" w:hAnsi="Times New Roman"/>
          <w:b w:val="0"/>
          <w:i w:val="0"/>
          <w:sz w:val="24"/>
        </w:rPr>
        <w:t>Conditional Recommend.</w:t>
      </w:r>
    </w:p>
    <w:p>
      <w:r>
        <w:rPr>
          <w:rFonts w:ascii="Times New Roman" w:hAnsi="Times New Roman"/>
          <w:b w:val="0"/>
          <w:i w:val="0"/>
          <w:sz w:val="24"/>
        </w:rPr>
        <w:t>The conditional recommendation rests on four decisive reasons. First, the architectural logic is more carefully sequenced than most graduate-level survey courses, and the cross-referencing requirement is structurally enforced rather than merely encouraged — features that distinguish this syllabus from the bulk of the “theory on the internet” genre. Second, the syllabus's self-acknowledged limitations section performs a rare and commendable act of curricular honesty that itself models the M1 positionality the syllabus teaches. Third, the lesson structure (8 components including Conceptual Tension, Connection Node, and Zeigarnik Hook) is a genuinely thoughtful design pattern that could be adopted by other curricula regardless of subject matter. Fourth, the principled inclusion of Wilber with its critique, and the refusal to introduce a new concept in the capstone, demonstrate a discipline rare in ambitious synthesis projects.</w:t>
      </w:r>
    </w:p>
    <w:p>
      <w:r>
        <w:rPr>
          <w:rFonts w:ascii="Times New Roman" w:hAnsi="Times New Roman"/>
          <w:b w:val="0"/>
          <w:i w:val="0"/>
          <w:sz w:val="24"/>
        </w:rPr>
        <w:t>The recommendation is conditional because the syllabus is not reliable as a primary source. Attributional looseness in the “originator(s)” column, the presentation of contested empirical theories (especially polyvagal theory) as settled, and the format-content mismatch for the densest concepts together require that any reader treat the syllabus as a navigational index rather than as a self-sufficient curriculum. Used as the former, it is excellent. Used as the latter, it will produce confident compression errors. The single most useful improvement a future version could make would be to rename the “originator(s)” column to “Key Figures” and to add a single line per lesson indicating whether the concept is settled, contested, or actively debated — a small editorial change that would resolve the bulk of this review's critique without abandoning the format.</w:t>
      </w:r>
    </w:p>
    <w:p>
      <w:pPr>
        <w:pStyle w:val="Heading2"/>
        <w:spacing w:before="240" w:after="120"/>
        <w:jc w:val="left"/>
      </w:pPr>
      <w:r>
        <w:rPr>
          <w:rFonts w:ascii="Arial" w:hAnsi="Arial"/>
          <w:b/>
          <w:sz w:val="28"/>
        </w:rPr>
        <w:t>Disclosure &amp; Assumptions</w:t>
      </w:r>
    </w:p>
    <w:p>
      <w:pPr>
        <w:pStyle w:val="ListBullet"/>
        <w:spacing w:after="80"/>
      </w:pPr>
      <w:r>
        <w:rPr>
          <w:rFonts w:ascii="Times New Roman" w:hAnsi="Times New Roman"/>
          <w:b/>
          <w:sz w:val="24"/>
        </w:rPr>
        <w:t xml:space="preserve">Scope of evaluation. </w:t>
      </w:r>
      <w:r>
        <w:rPr>
          <w:rFonts w:ascii="Times New Roman" w:hAnsi="Times New Roman"/>
          <w:sz w:val="24"/>
        </w:rPr>
        <w:t>The reviewer evaluated only the syllabus structure, framing, and the “core claim” and “originator(s)” columns as provided. The actual 74 lesson drafts (500–800 words each) were not available; this review therefore cannot assess whether the lesson structure as specified is in fact executed in the drafts. Several strengths and weaknesses identified here are conditional on execution.</w:t>
      </w:r>
    </w:p>
    <w:p>
      <w:pPr>
        <w:pStyle w:val="ListBullet"/>
        <w:spacing w:after="80"/>
      </w:pPr>
      <w:r>
        <w:rPr>
          <w:rFonts w:ascii="Times New Roman" w:hAnsi="Times New Roman"/>
          <w:b/>
          <w:sz w:val="24"/>
        </w:rPr>
        <w:t xml:space="preserve">Authorship. </w:t>
      </w:r>
      <w:r>
        <w:rPr>
          <w:rFonts w:ascii="Times New Roman" w:hAnsi="Times New Roman"/>
          <w:sz w:val="24"/>
        </w:rPr>
        <w:t>The authorship and institutional affiliation of the syllabus are not identified in the version reviewed. The review assumes good faith and treats the syllabus as a curricular artifact rather than as a publication subject to peer review.</w:t>
      </w:r>
    </w:p>
    <w:p>
      <w:pPr>
        <w:pStyle w:val="ListBullet"/>
        <w:spacing w:after="80"/>
      </w:pPr>
      <w:r>
        <w:rPr>
          <w:rFonts w:ascii="Times New Roman" w:hAnsi="Times New Roman"/>
          <w:b/>
          <w:sz w:val="24"/>
        </w:rPr>
        <w:t xml:space="preserve">Verification scope. </w:t>
      </w:r>
      <w:r>
        <w:rPr>
          <w:rFonts w:ascii="Times New Roman" w:hAnsi="Times New Roman"/>
          <w:sz w:val="24"/>
        </w:rPr>
        <w:t>Attribution accuracy was verified for a non-random sample of lessons (M1.5, M1.9, M1.10, M2.3, M2.9, M5.7, M5.9, M6.7, M7.8, M8.4, M8.5) chosen for their load-bearing role and their likelihood of containing contested claims. Lessons not in this sample were not verified; the rate of attributional looseness in the sample (5 of 11 verified) suggests that the unverified lessons likely contain similar issues at a comparable rate.</w:t>
      </w:r>
    </w:p>
    <w:p>
      <w:pPr>
        <w:pStyle w:val="ListBullet"/>
        <w:spacing w:after="80"/>
      </w:pPr>
      <w:r>
        <w:rPr>
          <w:rFonts w:ascii="Times New Roman" w:hAnsi="Times New Roman"/>
          <w:b/>
          <w:sz w:val="24"/>
        </w:rPr>
        <w:t xml:space="preserve">Temporal assumptions. </w:t>
      </w:r>
      <w:r>
        <w:rPr>
          <w:rFonts w:ascii="Times New Roman" w:hAnsi="Times New Roman"/>
          <w:sz w:val="24"/>
        </w:rPr>
        <w:t>This review was written in June 2026. The polyvagal-theory controversy is actively developing (the 2025–2026 exchange in Clinical Neuropsychiatry and Frontiers is ongoing), and the LLM debate continues to evolve. Judgments about which empirical claims are “contested” are time-stamped.</w:t>
      </w:r>
    </w:p>
    <w:p>
      <w:pPr>
        <w:pStyle w:val="ListBullet"/>
        <w:spacing w:after="80"/>
      </w:pPr>
      <w:r>
        <w:rPr>
          <w:rFonts w:ascii="Times New Roman" w:hAnsi="Times New Roman"/>
          <w:b/>
          <w:sz w:val="24"/>
        </w:rPr>
        <w:t xml:space="preserve">Reviewer positionality. </w:t>
      </w:r>
      <w:r>
        <w:rPr>
          <w:rFonts w:ascii="Times New Roman" w:hAnsi="Times New Roman"/>
          <w:sz w:val="24"/>
        </w:rPr>
        <w:t>The reviewer's disciplinary home is in science and technology studies with secondary training in critical theory, which biases attention toward attributional and empirical issues and away from pedagogical or aesthetic issues that a reviewer from education or the arts might foreground.</w:t>
      </w:r>
    </w:p>
    <w:p>
      <w:pPr>
        <w:pStyle w:val="Heading2"/>
        <w:spacing w:before="240" w:after="120"/>
        <w:jc w:val="left"/>
      </w:pPr>
      <w:r>
        <w:rPr>
          <w:rFonts w:ascii="Arial" w:hAnsi="Arial"/>
          <w:b/>
          <w:sz w:val="28"/>
        </w:rPr>
        <w:t>Appendix A — Verified Attribution Issues (Summary Table)</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b/>
                <w:sz w:val="20"/>
              </w:rPr>
              <w:t>Lesson</w:t>
            </w:r>
          </w:p>
        </w:tc>
        <w:tc>
          <w:tcPr>
            <w:tcW w:type="dxa" w:w="2409"/>
          </w:tcPr>
          <w:p>
            <w:r>
              <w:rPr>
                <w:b/>
                <w:sz w:val="20"/>
              </w:rPr>
              <w:t>Concept</w:t>
            </w:r>
          </w:p>
        </w:tc>
        <w:tc>
          <w:tcPr>
            <w:tcW w:type="dxa" w:w="2409"/>
          </w:tcPr>
          <w:p>
            <w:r>
              <w:rPr>
                <w:b/>
                <w:sz w:val="20"/>
              </w:rPr>
              <w:t>Attribution as given</w:t>
            </w:r>
          </w:p>
        </w:tc>
        <w:tc>
          <w:tcPr>
            <w:tcW w:type="dxa" w:w="2409"/>
          </w:tcPr>
          <w:p>
            <w:r>
              <w:rPr>
                <w:b/>
                <w:sz w:val="20"/>
              </w:rPr>
              <w:t>Issue identified</w:t>
            </w:r>
          </w:p>
        </w:tc>
      </w:tr>
      <w:tr>
        <w:tc>
          <w:tcPr>
            <w:tcW w:type="dxa" w:w="2409"/>
          </w:tcPr>
          <w:p>
            <w:r>
              <w:rPr>
                <w:rFonts w:ascii="Times New Roman" w:hAnsi="Times New Roman"/>
                <w:sz w:val="20"/>
              </w:rPr>
              <w:t>M1.5</w:t>
            </w:r>
          </w:p>
        </w:tc>
        <w:tc>
          <w:tcPr>
            <w:tcW w:type="dxa" w:w="2409"/>
          </w:tcPr>
          <w:p>
            <w:r>
              <w:rPr>
                <w:rFonts w:ascii="Times New Roman" w:hAnsi="Times New Roman"/>
                <w:sz w:val="20"/>
              </w:rPr>
              <w:t>Bayesian Epistemology</w:t>
            </w:r>
          </w:p>
        </w:tc>
        <w:tc>
          <w:tcPr>
            <w:tcW w:type="dxa" w:w="2409"/>
          </w:tcPr>
          <w:p>
            <w:r>
              <w:rPr>
                <w:rFonts w:ascii="Times New Roman" w:hAnsi="Times New Roman"/>
                <w:sz w:val="20"/>
              </w:rPr>
              <w:t>Bayes / Laplace</w:t>
            </w:r>
          </w:p>
        </w:tc>
        <w:tc>
          <w:tcPr>
            <w:tcW w:type="dxa" w:w="2409"/>
          </w:tcPr>
          <w:p>
            <w:r>
              <w:rPr>
                <w:rFonts w:ascii="Times New Roman" w:hAnsi="Times New Roman"/>
                <w:sz w:val="20"/>
              </w:rPr>
              <w:t>Historically defensible for the theorem, but elides 20th-century architects of Bayesian epistemology as a philosophical program (Ramsey, de Finetti, Savage, Jeffrey).</w:t>
            </w:r>
          </w:p>
        </w:tc>
      </w:tr>
      <w:tr>
        <w:tc>
          <w:tcPr>
            <w:tcW w:type="dxa" w:w="2409"/>
          </w:tcPr>
          <w:p>
            <w:r>
              <w:rPr>
                <w:rFonts w:ascii="Times New Roman" w:hAnsi="Times New Roman"/>
                <w:sz w:val="20"/>
              </w:rPr>
              <w:t>M1.9</w:t>
            </w:r>
          </w:p>
        </w:tc>
        <w:tc>
          <w:tcPr>
            <w:tcW w:type="dxa" w:w="2409"/>
          </w:tcPr>
          <w:p>
            <w:r>
              <w:rPr>
                <w:rFonts w:ascii="Times New Roman" w:hAnsi="Times New Roman"/>
                <w:sz w:val="20"/>
              </w:rPr>
              <w:t>Indigenous &amp; Relational Epistemologies</w:t>
            </w:r>
          </w:p>
        </w:tc>
        <w:tc>
          <w:tcPr>
            <w:tcW w:type="dxa" w:w="2409"/>
          </w:tcPr>
          <w:p>
            <w:r>
              <w:rPr>
                <w:rFonts w:ascii="Times New Roman" w:hAnsi="Times New Roman"/>
                <w:sz w:val="20"/>
              </w:rPr>
              <w:t>Battiste / Wilson / Two-Eyed Seeing</w:t>
            </w:r>
          </w:p>
        </w:tc>
        <w:tc>
          <w:tcPr>
            <w:tcW w:type="dxa" w:w="2409"/>
          </w:tcPr>
          <w:p>
            <w:r>
              <w:rPr>
                <w:rFonts w:ascii="Times New Roman" w:hAnsi="Times New Roman"/>
                <w:sz w:val="20"/>
              </w:rPr>
              <w:t>Two-Eyed Seeing (Etuaptmumk) was developed by Mi'kmaw Elders Albert and Murdena Marshall; Battiste and Wilson are later scholarly elaborators, not co-equal originators.</w:t>
            </w:r>
          </w:p>
        </w:tc>
      </w:tr>
      <w:tr>
        <w:tc>
          <w:tcPr>
            <w:tcW w:type="dxa" w:w="2409"/>
          </w:tcPr>
          <w:p>
            <w:r>
              <w:rPr>
                <w:rFonts w:ascii="Times New Roman" w:hAnsi="Times New Roman"/>
                <w:sz w:val="20"/>
              </w:rPr>
              <w:t>M2.3</w:t>
            </w:r>
          </w:p>
        </w:tc>
        <w:tc>
          <w:tcPr>
            <w:tcW w:type="dxa" w:w="2409"/>
          </w:tcPr>
          <w:p>
            <w:r>
              <w:rPr>
                <w:rFonts w:ascii="Times New Roman" w:hAnsi="Times New Roman"/>
                <w:sz w:val="20"/>
              </w:rPr>
              <w:t>Polyvagal Theory</w:t>
            </w:r>
          </w:p>
        </w:tc>
        <w:tc>
          <w:tcPr>
            <w:tcW w:type="dxa" w:w="2409"/>
          </w:tcPr>
          <w:p>
            <w:r>
              <w:rPr>
                <w:rFonts w:ascii="Times New Roman" w:hAnsi="Times New Roman"/>
                <w:sz w:val="20"/>
              </w:rPr>
              <w:t>Porges</w:t>
            </w:r>
          </w:p>
        </w:tc>
        <w:tc>
          <w:tcPr>
            <w:tcW w:type="dxa" w:w="2409"/>
          </w:tcPr>
          <w:p>
            <w:r>
              <w:rPr>
                <w:rFonts w:ascii="Times New Roman" w:hAnsi="Times New Roman"/>
                <w:sz w:val="20"/>
              </w:rPr>
              <w:t>Correctly attributed, but presented as settled despite sustained critique (Grossman &amp; Taylor, ongoing 2025–2026 exchange).</w:t>
            </w:r>
          </w:p>
        </w:tc>
      </w:tr>
      <w:tr>
        <w:tc>
          <w:tcPr>
            <w:tcW w:type="dxa" w:w="2409"/>
          </w:tcPr>
          <w:p>
            <w:r>
              <w:rPr>
                <w:rFonts w:ascii="Times New Roman" w:hAnsi="Times New Roman"/>
                <w:sz w:val="20"/>
              </w:rPr>
              <w:t>M5.9</w:t>
            </w:r>
          </w:p>
        </w:tc>
        <w:tc>
          <w:tcPr>
            <w:tcW w:type="dxa" w:w="2409"/>
          </w:tcPr>
          <w:p>
            <w:r>
              <w:rPr>
                <w:rFonts w:ascii="Times New Roman" w:hAnsi="Times New Roman"/>
                <w:sz w:val="20"/>
              </w:rPr>
              <w:t>Reflexivity</w:t>
            </w:r>
          </w:p>
        </w:tc>
        <w:tc>
          <w:tcPr>
            <w:tcW w:type="dxa" w:w="2409"/>
          </w:tcPr>
          <w:p>
            <w:r>
              <w:rPr>
                <w:rFonts w:ascii="Times New Roman" w:hAnsi="Times New Roman"/>
                <w:sz w:val="20"/>
              </w:rPr>
              <w:t>Soros / Bourdieu</w:t>
            </w:r>
          </w:p>
        </w:tc>
        <w:tc>
          <w:tcPr>
            <w:tcW w:type="dxa" w:w="2409"/>
          </w:tcPr>
          <w:p>
            <w:r>
              <w:rPr>
                <w:rFonts w:ascii="Times New Roman" w:hAnsi="Times New Roman"/>
                <w:sz w:val="20"/>
              </w:rPr>
              <w:t>Two distinct concepts sharing a name. Soros: financial-markets reflexivity (fallibility + cognitive/participative functions). Bourdieu: sociological epistemic reflexivity. Listing as co-originators conflates them.</w:t>
            </w:r>
          </w:p>
        </w:tc>
      </w:tr>
      <w:tr>
        <w:tc>
          <w:tcPr>
            <w:tcW w:type="dxa" w:w="2409"/>
          </w:tcPr>
          <w:p>
            <w:r>
              <w:rPr>
                <w:rFonts w:ascii="Times New Roman" w:hAnsi="Times New Roman"/>
                <w:sz w:val="20"/>
              </w:rPr>
              <w:t>M7.8</w:t>
            </w:r>
          </w:p>
        </w:tc>
        <w:tc>
          <w:tcPr>
            <w:tcW w:type="dxa" w:w="2409"/>
          </w:tcPr>
          <w:p>
            <w:r>
              <w:rPr>
                <w:rFonts w:ascii="Times New Roman" w:hAnsi="Times New Roman"/>
                <w:sz w:val="20"/>
              </w:rPr>
              <w:t>Stochastic Parrots &amp; Generative Synthesis</w:t>
            </w:r>
          </w:p>
        </w:tc>
        <w:tc>
          <w:tcPr>
            <w:tcW w:type="dxa" w:w="2409"/>
          </w:tcPr>
          <w:p>
            <w:r>
              <w:rPr>
                <w:rFonts w:ascii="Times New Roman" w:hAnsi="Times New Roman"/>
                <w:sz w:val="20"/>
              </w:rPr>
              <w:t>Bender / Gebru / LeCun</w:t>
            </w:r>
          </w:p>
        </w:tc>
        <w:tc>
          <w:tcPr>
            <w:tcW w:type="dxa" w:w="2409"/>
          </w:tcPr>
          <w:p>
            <w:r>
              <w:rPr>
                <w:rFonts w:ascii="Times New Roman" w:hAnsi="Times New Roman"/>
                <w:sz w:val="20"/>
              </w:rPr>
              <w:t>LeCun publicly disagrees with the stochastic-parrots framing of LLMs. Listing him as co-originator of the concept is misleading.</w:t>
            </w:r>
          </w:p>
        </w:tc>
      </w:tr>
      <w:tr>
        <w:tc>
          <w:tcPr>
            <w:tcW w:type="dxa" w:w="2409"/>
          </w:tcPr>
          <w:p>
            <w:r>
              <w:rPr>
                <w:rFonts w:ascii="Times New Roman" w:hAnsi="Times New Roman"/>
                <w:sz w:val="20"/>
              </w:rPr>
              <w:t>M8.4</w:t>
            </w:r>
          </w:p>
        </w:tc>
        <w:tc>
          <w:tcPr>
            <w:tcW w:type="dxa" w:w="2409"/>
          </w:tcPr>
          <w:p>
            <w:r>
              <w:rPr>
                <w:rFonts w:ascii="Times New Roman" w:hAnsi="Times New Roman"/>
                <w:sz w:val="20"/>
              </w:rPr>
              <w:t>Metamodernism</w:t>
            </w:r>
          </w:p>
        </w:tc>
        <w:tc>
          <w:tcPr>
            <w:tcW w:type="dxa" w:w="2409"/>
          </w:tcPr>
          <w:p>
            <w:r>
              <w:rPr>
                <w:rFonts w:ascii="Times New Roman" w:hAnsi="Times New Roman"/>
                <w:sz w:val="20"/>
              </w:rPr>
              <w:t>Freinacht / Vermeulen &amp; van den Akker</w:t>
            </w:r>
          </w:p>
        </w:tc>
        <w:tc>
          <w:tcPr>
            <w:tcW w:type="dxa" w:w="2409"/>
          </w:tcPr>
          <w:p>
            <w:r>
              <w:rPr>
                <w:rFonts w:ascii="Times New Roman" w:hAnsi="Times New Roman"/>
                <w:sz w:val="20"/>
              </w:rPr>
              <w:t>Conflates the academic cultural-theory project (Vermeulen &amp; van den Akker, 2010) with the separate Nordic political-philosophical project (Hanzi Freinacht).</w:t>
            </w:r>
          </w:p>
        </w:tc>
      </w:tr>
      <w:tr>
        <w:tc>
          <w:tcPr>
            <w:tcW w:type="dxa" w:w="2409"/>
          </w:tcPr>
          <w:p>
            <w:r>
              <w:rPr>
                <w:rFonts w:ascii="Times New Roman" w:hAnsi="Times New Roman"/>
                <w:sz w:val="20"/>
              </w:rPr>
              <w:t>M8.5</w:t>
            </w:r>
          </w:p>
        </w:tc>
        <w:tc>
          <w:tcPr>
            <w:tcW w:type="dxa" w:w="2409"/>
          </w:tcPr>
          <w:p>
            <w:r>
              <w:rPr>
                <w:rFonts w:ascii="Times New Roman" w:hAnsi="Times New Roman"/>
                <w:sz w:val="20"/>
              </w:rPr>
              <w:t>Integral Theory (AQAL)</w:t>
            </w:r>
          </w:p>
        </w:tc>
        <w:tc>
          <w:tcPr>
            <w:tcW w:type="dxa" w:w="2409"/>
          </w:tcPr>
          <w:p>
            <w:r>
              <w:rPr>
                <w:rFonts w:ascii="Times New Roman" w:hAnsi="Times New Roman"/>
                <w:sz w:val="20"/>
              </w:rPr>
              <w:t>Wilber / Critics</w:t>
            </w:r>
          </w:p>
        </w:tc>
        <w:tc>
          <w:tcPr>
            <w:tcW w:type="dxa" w:w="2409"/>
          </w:tcPr>
          <w:p>
            <w:r>
              <w:rPr>
                <w:rFonts w:ascii="Times New Roman" w:hAnsi="Times New Roman"/>
                <w:sz w:val="20"/>
              </w:rPr>
              <w:t>Correctly attributed and correctly marked as contested. A positive example of the right approach.</w:t>
            </w:r>
          </w:p>
        </w:tc>
      </w:tr>
    </w:tbl>
    <w:p>
      <w:r>
        <w:rPr>
          <w:rFonts w:ascii="Times New Roman" w:hAnsi="Times New Roman"/>
          <w:b w:val="0"/>
          <w:i w:val="0"/>
          <w:sz w:val="24"/>
        </w:rPr>
      </w:r>
    </w:p>
    <w:p>
      <w:pPr>
        <w:pStyle w:val="Heading2"/>
        <w:spacing w:before="240" w:after="120"/>
        <w:jc w:val="left"/>
      </w:pPr>
      <w:r>
        <w:rPr>
          <w:rFonts w:ascii="Arial" w:hAnsi="Arial"/>
          <w:b/>
          <w:sz w:val="28"/>
        </w:rPr>
        <w:t>Appendix B — Summary Scorecard</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sz w:val="20"/>
              </w:rPr>
              <w:t>Criterion</w:t>
            </w:r>
          </w:p>
        </w:tc>
        <w:tc>
          <w:tcPr>
            <w:tcW w:type="dxa" w:w="3213"/>
          </w:tcPr>
          <w:p>
            <w:r>
              <w:rPr>
                <w:b/>
                <w:sz w:val="20"/>
              </w:rPr>
              <w:t>Rating</w:t>
            </w:r>
          </w:p>
        </w:tc>
        <w:tc>
          <w:tcPr>
            <w:tcW w:type="dxa" w:w="3213"/>
          </w:tcPr>
          <w:p>
            <w:r>
              <w:rPr>
                <w:b/>
                <w:sz w:val="20"/>
              </w:rPr>
              <w:t>Notes</w:t>
            </w:r>
          </w:p>
        </w:tc>
      </w:tr>
      <w:tr>
        <w:tc>
          <w:tcPr>
            <w:tcW w:type="dxa" w:w="3213"/>
          </w:tcPr>
          <w:p>
            <w:r>
              <w:rPr>
                <w:rFonts w:ascii="Times New Roman" w:hAnsi="Times New Roman"/>
                <w:sz w:val="20"/>
              </w:rPr>
              <w:t>Attributional Accuracy</w:t>
            </w:r>
          </w:p>
        </w:tc>
        <w:tc>
          <w:tcPr>
            <w:tcW w:type="dxa" w:w="3213"/>
          </w:tcPr>
          <w:p>
            <w:r>
              <w:rPr>
                <w:rFonts w:ascii="Times New Roman" w:hAnsi="Times New Roman"/>
                <w:sz w:val="20"/>
              </w:rPr>
              <w:t>Weak</w:t>
            </w:r>
          </w:p>
        </w:tc>
        <w:tc>
          <w:tcPr>
            <w:tcW w:type="dxa" w:w="3213"/>
          </w:tcPr>
          <w:p>
            <w:r>
              <w:rPr>
                <w:rFonts w:ascii="Times New Roman" w:hAnsi="Times New Roman"/>
                <w:sz w:val="20"/>
              </w:rPr>
              <w:t>5 of 11 verified lessons show material attributional looseness.</w:t>
            </w:r>
          </w:p>
        </w:tc>
      </w:tr>
      <w:tr>
        <w:tc>
          <w:tcPr>
            <w:tcW w:type="dxa" w:w="3213"/>
          </w:tcPr>
          <w:p>
            <w:r>
              <w:rPr>
                <w:rFonts w:ascii="Times New Roman" w:hAnsi="Times New Roman"/>
                <w:sz w:val="20"/>
              </w:rPr>
              <w:t>Architectural Coherence</w:t>
            </w:r>
          </w:p>
        </w:tc>
        <w:tc>
          <w:tcPr>
            <w:tcW w:type="dxa" w:w="3213"/>
          </w:tcPr>
          <w:p>
            <w:r>
              <w:rPr>
                <w:rFonts w:ascii="Times New Roman" w:hAnsi="Times New Roman"/>
                <w:sz w:val="20"/>
              </w:rPr>
              <w:t>Strong</w:t>
            </w:r>
          </w:p>
        </w:tc>
        <w:tc>
          <w:tcPr>
            <w:tcW w:type="dxa" w:w="3213"/>
          </w:tcPr>
          <w:p>
            <w:r>
              <w:rPr>
                <w:rFonts w:ascii="Times New Roman" w:hAnsi="Times New Roman"/>
                <w:sz w:val="20"/>
              </w:rPr>
              <w:t>Sequence is defensible with two arguable inversions (M1.10, M5.7).</w:t>
            </w:r>
          </w:p>
        </w:tc>
      </w:tr>
      <w:tr>
        <w:tc>
          <w:tcPr>
            <w:tcW w:type="dxa" w:w="3213"/>
          </w:tcPr>
          <w:p>
            <w:r>
              <w:rPr>
                <w:rFonts w:ascii="Times New Roman" w:hAnsi="Times New Roman"/>
                <w:sz w:val="20"/>
              </w:rPr>
              <w:t>Conceptual Compression</w:t>
            </w:r>
          </w:p>
        </w:tc>
        <w:tc>
          <w:tcPr>
            <w:tcW w:type="dxa" w:w="3213"/>
          </w:tcPr>
          <w:p>
            <w:r>
              <w:rPr>
                <w:rFonts w:ascii="Times New Roman" w:hAnsi="Times New Roman"/>
                <w:sz w:val="20"/>
              </w:rPr>
              <w:t>Mixed</w:t>
            </w:r>
          </w:p>
        </w:tc>
        <w:tc>
          <w:tcPr>
            <w:tcW w:type="dxa" w:w="3213"/>
          </w:tcPr>
          <w:p>
            <w:r>
              <w:rPr>
                <w:rFonts w:ascii="Times New Roman" w:hAnsi="Times New Roman"/>
                <w:sz w:val="20"/>
              </w:rPr>
              <w:t>Definitional concepts compressed well; counter-intuitive concepts compressed dangerously.</w:t>
            </w:r>
          </w:p>
        </w:tc>
      </w:tr>
      <w:tr>
        <w:tc>
          <w:tcPr>
            <w:tcW w:type="dxa" w:w="3213"/>
          </w:tcPr>
          <w:p>
            <w:r>
              <w:rPr>
                <w:rFonts w:ascii="Times New Roman" w:hAnsi="Times New Roman"/>
                <w:sz w:val="20"/>
              </w:rPr>
              <w:t>Pedagogical Viability</w:t>
            </w:r>
          </w:p>
        </w:tc>
        <w:tc>
          <w:tcPr>
            <w:tcW w:type="dxa" w:w="3213"/>
          </w:tcPr>
          <w:p>
            <w:r>
              <w:rPr>
                <w:rFonts w:ascii="Times New Roman" w:hAnsi="Times New Roman"/>
                <w:sz w:val="20"/>
              </w:rPr>
              <w:t>Mixed</w:t>
            </w:r>
          </w:p>
        </w:tc>
        <w:tc>
          <w:tcPr>
            <w:tcW w:type="dxa" w:w="3213"/>
          </w:tcPr>
          <w:p>
            <w:r>
              <w:rPr>
                <w:rFonts w:ascii="Times New Roman" w:hAnsi="Times New Roman"/>
                <w:sz w:val="20"/>
              </w:rPr>
              <w:t>Excellent as index; inadequate as standalone curriculum for dense concepts.</w:t>
            </w:r>
          </w:p>
        </w:tc>
      </w:tr>
      <w:tr>
        <w:tc>
          <w:tcPr>
            <w:tcW w:type="dxa" w:w="3213"/>
          </w:tcPr>
          <w:p>
            <w:r>
              <w:rPr>
                <w:rFonts w:ascii="Times New Roman" w:hAnsi="Times New Roman"/>
                <w:sz w:val="20"/>
              </w:rPr>
              <w:t>Critical Reflexivity</w:t>
            </w:r>
          </w:p>
        </w:tc>
        <w:tc>
          <w:tcPr>
            <w:tcW w:type="dxa" w:w="3213"/>
          </w:tcPr>
          <w:p>
            <w:r>
              <w:rPr>
                <w:rFonts w:ascii="Times New Roman" w:hAnsi="Times New Roman"/>
                <w:sz w:val="20"/>
              </w:rPr>
              <w:t>Mixed</w:t>
            </w:r>
          </w:p>
        </w:tc>
        <w:tc>
          <w:tcPr>
            <w:tcW w:type="dxa" w:w="3213"/>
          </w:tcPr>
          <w:p>
            <w:r>
              <w:rPr>
                <w:rFonts w:ascii="Times New Roman" w:hAnsi="Times New Roman"/>
                <w:sz w:val="20"/>
              </w:rPr>
              <w:t>Strong on power; weak on its own favored empirical frameworks.</w:t>
            </w:r>
          </w:p>
        </w:tc>
      </w:tr>
      <w:tr>
        <w:tc>
          <w:tcPr>
            <w:tcW w:type="dxa" w:w="3213"/>
          </w:tcPr>
          <w:p>
            <w:r>
              <w:rPr>
                <w:rFonts w:ascii="Times New Roman" w:hAnsi="Times New Roman"/>
                <w:sz w:val="20"/>
              </w:rPr>
              <w:t>Integration Quality</w:t>
            </w:r>
          </w:p>
        </w:tc>
        <w:tc>
          <w:tcPr>
            <w:tcW w:type="dxa" w:w="3213"/>
          </w:tcPr>
          <w:p>
            <w:r>
              <w:rPr>
                <w:rFonts w:ascii="Times New Roman" w:hAnsi="Times New Roman"/>
                <w:sz w:val="20"/>
              </w:rPr>
              <w:t>Mixed</w:t>
            </w:r>
          </w:p>
        </w:tc>
        <w:tc>
          <w:tcPr>
            <w:tcW w:type="dxa" w:w="3213"/>
          </w:tcPr>
          <w:p>
            <w:r>
              <w:rPr>
                <w:rFonts w:ascii="Times New Roman" w:hAnsi="Times New Roman"/>
                <w:sz w:val="20"/>
              </w:rPr>
              <w:t>Critical/Structural and Materialist vectors well integrated; Contemplative and Ecological vectors concentrated rather than distributed.</w:t>
            </w:r>
          </w:p>
        </w:tc>
      </w:tr>
      <w:tr>
        <w:tc>
          <w:tcPr>
            <w:tcW w:type="dxa" w:w="3213"/>
          </w:tcPr>
          <w:p>
            <w:r>
              <w:rPr>
                <w:rFonts w:ascii="Times New Roman" w:hAnsi="Times New Roman"/>
                <w:sz w:val="20"/>
              </w:rPr>
              <w:t>Self-Acknowledged Limits</w:t>
            </w:r>
          </w:p>
        </w:tc>
        <w:tc>
          <w:tcPr>
            <w:tcW w:type="dxa" w:w="3213"/>
          </w:tcPr>
          <w:p>
            <w:r>
              <w:rPr>
                <w:rFonts w:ascii="Times New Roman" w:hAnsi="Times New Roman"/>
                <w:sz w:val="20"/>
              </w:rPr>
              <w:t>Strong</w:t>
            </w:r>
          </w:p>
        </w:tc>
        <w:tc>
          <w:tcPr>
            <w:tcW w:type="dxa" w:w="3213"/>
          </w:tcPr>
          <w:p>
            <w:r>
              <w:rPr>
                <w:rFonts w:ascii="Times New Roman" w:hAnsi="Times New Roman"/>
                <w:sz w:val="20"/>
              </w:rPr>
              <w:t>Rare and commendable honesty about content omissions.</w:t>
            </w:r>
          </w:p>
        </w:tc>
      </w:tr>
    </w:tbl>
    <w:p>
      <w:pPr>
        <w:pStyle w:val="Heading2"/>
        <w:spacing w:before="240" w:after="120"/>
        <w:jc w:val="left"/>
      </w:pPr>
      <w:r>
        <w:rPr>
          <w:rFonts w:ascii="Arial" w:hAnsi="Arial"/>
          <w:b/>
          <w:sz w:val="28"/>
        </w:rPr>
        <w:t>References</w:t>
      </w:r>
    </w:p>
    <w:p>
      <w:r>
        <w:rPr>
          <w:rFonts w:ascii="Times New Roman" w:hAnsi="Times New Roman"/>
          <w:b w:val="0"/>
          <w:i w:val="0"/>
          <w:sz w:val="24"/>
        </w:rPr>
        <w:t>The following sources were consulted during the verification phase of this review. All URLs were accessible as of June 2026.</w:t>
      </w:r>
    </w:p>
    <w:p>
      <w:pPr>
        <w:spacing w:after="120"/>
        <w:ind w:left="720" w:hanging="720"/>
      </w:pPr>
      <w:r>
        <w:rPr>
          <w:rFonts w:ascii="Times New Roman" w:hAnsi="Times New Roman"/>
          <w:sz w:val="22"/>
        </w:rPr>
        <w:t>[1] Bender, E. M., Gebru, T., McMillan-Major, A., &amp; Shmitchell, S. (2021). On the Dangers of Stochastic Parrots: Can Language Models Be Too Big? Proceedings of the 2021 ACM Conference on Fairness, Accountability, and Transparency. Retrieved from https://s10251.pcdn.co/pdf/2021-bender-parrots.pdf</w:t>
      </w:r>
    </w:p>
    <w:p>
      <w:pPr>
        <w:spacing w:after="120"/>
        <w:ind w:left="720" w:hanging="720"/>
      </w:pPr>
      <w:r>
        <w:rPr>
          <w:rFonts w:ascii="Times New Roman" w:hAnsi="Times New Roman"/>
          <w:sz w:val="22"/>
        </w:rPr>
        <w:t>[2] Bhaskar, R. (2008 [1975]). A Realist Theory of Science. Routledge. (Original articulation of the Real / Actual / Empirical distinction.)</w:t>
      </w:r>
    </w:p>
    <w:p>
      <w:pPr>
        <w:spacing w:after="120"/>
        <w:ind w:left="720" w:hanging="720"/>
      </w:pPr>
      <w:r>
        <w:rPr>
          <w:rFonts w:ascii="Times New Roman" w:hAnsi="Times New Roman"/>
          <w:sz w:val="22"/>
        </w:rPr>
        <w:t>[3] Bourdieu, P., &amp; Wacquant, L. (1992). An Invitation to Reflexive Sociology. University of Chicago Press. (For the sociological account of reflexivity.)</w:t>
      </w:r>
    </w:p>
    <w:p>
      <w:pPr>
        <w:spacing w:after="120"/>
        <w:ind w:left="720" w:hanging="720"/>
      </w:pPr>
      <w:r>
        <w:rPr>
          <w:rFonts w:ascii="Times New Roman" w:hAnsi="Times New Roman"/>
          <w:sz w:val="22"/>
        </w:rPr>
        <w:t>[4] Fryer, T., &amp; Navarrete, C. (2022). Let's stop talking about the three domains of reality. Critical Realism Network. Retrieved from https://criticalrealismnetwork.org/2022/04/26/stop-talking-about-the-three-domains</w:t>
      </w:r>
    </w:p>
    <w:p>
      <w:pPr>
        <w:spacing w:after="120"/>
        <w:ind w:left="720" w:hanging="720"/>
      </w:pPr>
      <w:r>
        <w:rPr>
          <w:rFonts w:ascii="Times New Roman" w:hAnsi="Times New Roman"/>
          <w:sz w:val="22"/>
        </w:rPr>
        <w:t>[5] Grossman, P., &amp; Taylor, E. W. (2026). A critique of Polyvagal Theory. (See the exchange in Clinical Neuropsychiatry and Frontiers in Integrative Neuroscience, 2025–2026.)</w:t>
      </w:r>
    </w:p>
    <w:p>
      <w:pPr>
        <w:spacing w:after="120"/>
        <w:ind w:left="720" w:hanging="720"/>
      </w:pPr>
      <w:r>
        <w:rPr>
          <w:rFonts w:ascii="Times New Roman" w:hAnsi="Times New Roman"/>
          <w:sz w:val="22"/>
        </w:rPr>
        <w:t>[6] Marshall, A., &amp; Marshall, M. (Mi'kmaw Elders). Two-Eyed Seeing (Etuaptmumk). For scholarly elaboration see Bartlett, C., Marshall, M., &amp; Marshall, A. (2012). Two-Eyed Seeing and other lessons learned within a co-learning journey of bringing together indigenous and mainstream knowledges and ways of knowing. Journal of Environmental Studies and Sciences, 2(4), 331–340.</w:t>
      </w:r>
    </w:p>
    <w:p>
      <w:pPr>
        <w:spacing w:after="120"/>
        <w:ind w:left="720" w:hanging="720"/>
      </w:pPr>
      <w:r>
        <w:rPr>
          <w:rFonts w:ascii="Times New Roman" w:hAnsi="Times New Roman"/>
          <w:sz w:val="22"/>
        </w:rPr>
        <w:t>[7] Porges, S. W. (2022). Polyvagal Theory: A Science of Safety. Frontiers in Integrative Neuroscience, 16, 871227. Retrieved from https://www.frontiersin.org/journals/integrative-neuroscience/articles/10.3389/fnint.2022.871227/full</w:t>
      </w:r>
    </w:p>
    <w:p>
      <w:pPr>
        <w:spacing w:after="120"/>
        <w:ind w:left="720" w:hanging="720"/>
      </w:pPr>
      <w:r>
        <w:rPr>
          <w:rFonts w:ascii="Times New Roman" w:hAnsi="Times New Roman"/>
          <w:sz w:val="22"/>
        </w:rPr>
        <w:t>[8] Soros, G. (2014). Fallibility, Reflexivity, and the Human Uncertainty Principle. Journal of Economic Methodology. Retrieved from https://www.georgesoros.com/2014/01/13/fallibility-reflexivity-and-the-human-uncertainty-principle-2</w:t>
      </w:r>
    </w:p>
    <w:p>
      <w:pPr>
        <w:spacing w:after="120"/>
        <w:ind w:left="720" w:hanging="720"/>
      </w:pPr>
      <w:r>
        <w:rPr>
          <w:rFonts w:ascii="Times New Roman" w:hAnsi="Times New Roman"/>
          <w:sz w:val="22"/>
        </w:rPr>
        <w:t>[9] Stanford Encyclopedia of Philosophy. Bayesian Epistemology. Retrieved from https://plato.stanford.edu/entries/epistemology-bayesian</w:t>
      </w:r>
    </w:p>
    <w:p>
      <w:pPr>
        <w:spacing w:after="120"/>
        <w:ind w:left="720" w:hanging="720"/>
      </w:pPr>
      <w:r>
        <w:rPr>
          <w:rFonts w:ascii="Times New Roman" w:hAnsi="Times New Roman"/>
          <w:sz w:val="22"/>
        </w:rPr>
        <w:t>[10] Varoufakis, Y. (2023). Technofeudalism: What Killed Capitalism. Melville House. (For critiques see Jacobin, 2023, and the Network Cultures review, 2024.)</w:t>
      </w:r>
    </w:p>
    <w:p>
      <w:pPr>
        <w:spacing w:after="120"/>
        <w:ind w:left="720" w:hanging="720"/>
      </w:pPr>
      <w:r>
        <w:rPr>
          <w:rFonts w:ascii="Times New Roman" w:hAnsi="Times New Roman"/>
          <w:sz w:val="22"/>
        </w:rPr>
        <w:t>[11] Vermeulen, T., &amp; van den Akker, R. (2010). Notes on Metamodernism. Journal of Aesthetics &amp; Culture, 2. (For the academic metamodernism project; contrast with Hanzi Freinacht's Nordic metamodernism.)</w:t>
      </w:r>
    </w:p>
    <w:p>
      <w:pPr>
        <w:spacing w:after="120"/>
        <w:ind w:left="720" w:hanging="720"/>
      </w:pPr>
      <w:r>
        <w:rPr>
          <w:rFonts w:ascii="Times New Roman" w:hAnsi="Times New Roman"/>
          <w:sz w:val="22"/>
        </w:rPr>
        <w:t>[12] Wikipedia. Cynefin framework; Metamodernism; Reflexivity (social theory); Stochastic parrot. (Consulted for orientation; primary sources preferred above.)</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t xml:space="preserve">Page </w:t>
    </w:r>
    <w:r>
      <w:rPr>
        <w:rFonts w:ascii="Arial" w:hAnsi="Arial"/>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i/>
        <w:color w:val="666666"/>
        <w:sz w:val="18"/>
      </w:rPr>
      <w:t>Scholarly Critical Review — Reality's Architecture Syllabus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