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731" w:rsidRDefault="005B1731" w:rsidP="005B1731">
      <w:pPr>
        <w:pStyle w:val="-1"/>
        <w:numPr>
          <w:ilvl w:val="0"/>
          <w:numId w:val="9"/>
        </w:numPr>
        <w:shd w:val="clear" w:color="auto" w:fill="auto"/>
        <w:spacing w:before="156" w:after="156"/>
        <w:ind w:left="281" w:hangingChars="100" w:hanging="281"/>
      </w:pPr>
      <w:r>
        <w:rPr>
          <w:rFonts w:hint="eastAsia"/>
        </w:rPr>
        <w:t>重要提示</w:t>
      </w:r>
    </w:p>
    <w:p w:rsidR="005B1731" w:rsidRDefault="005B1731" w:rsidP="005B1731">
      <w:pPr>
        <w:pStyle w:val="-0"/>
        <w:ind w:firstLine="420"/>
      </w:pPr>
      <w:r>
        <w:rPr>
          <w:rFonts w:hint="eastAsia"/>
        </w:rPr>
        <w:t>基金管理人的</w:t>
      </w:r>
      <w:bookmarkStart w:id="0" w:name="_GoBack"/>
      <w:bookmarkEnd w:id="0"/>
      <w:r>
        <w:rPr>
          <w:rFonts w:hint="eastAsia"/>
        </w:rPr>
        <w:t>董事会及董事保证本报告所载资料不存在虚假记载、误导性陈述或重大遗漏，并对其内容的真实性、准确性和完整性承担个别及连带责任。</w:t>
      </w:r>
    </w:p>
    <w:p w:rsidR="005B1731" w:rsidRDefault="005B1731" w:rsidP="005B1731">
      <w:pPr>
        <w:pStyle w:val="-0"/>
        <w:ind w:firstLine="420"/>
        <w:rPr>
          <w:lang w:eastAsia="zh-CN"/>
        </w:rPr>
      </w:pPr>
      <w:r w:rsidRPr="00CE126A">
        <w:rPr>
          <w:rFonts w:hint="eastAsia"/>
          <w:color w:val="280BFD"/>
        </w:rPr>
        <w:t>[del]</w:t>
      </w:r>
      <w:r w:rsidRPr="00BA52DB">
        <w:rPr>
          <w:rFonts w:hint="eastAsia"/>
          <w:color w:val="0000FF"/>
        </w:rPr>
        <w:t>基金托管人中国农业银行股份有限公司根据本基金合同规定</w:t>
      </w:r>
      <w:r w:rsidRPr="00CE126A">
        <w:rPr>
          <w:rFonts w:hint="eastAsia"/>
          <w:color w:val="280BFD"/>
        </w:rPr>
        <w:t>[/del][add]</w:t>
      </w:r>
      <w:r w:rsidRPr="00BA52DB">
        <w:rPr>
          <w:rFonts w:hint="eastAsia"/>
          <w:color w:val="0000FF"/>
        </w:rPr>
        <w:t>基金托管人中国银行股份有限公司根据本基金合同规定</w:t>
      </w:r>
      <w:r w:rsidRPr="00CE126A">
        <w:rPr>
          <w:rFonts w:hint="eastAsia"/>
          <w:color w:val="280BFD"/>
        </w:rPr>
        <w:t>[/add]，</w:t>
      </w:r>
      <w:r>
        <w:rPr>
          <w:rFonts w:hint="eastAsia"/>
        </w:rPr>
        <w:t>于2018年7月16日复核了本报告中的财务指标、净值表现和投资组合报告等内容，保证复核内容不存在虚假记载、误导性陈述或者重大遗漏。</w:t>
      </w:r>
    </w:p>
    <w:p w:rsidR="005B1731" w:rsidRDefault="005B1731" w:rsidP="005B1731">
      <w:pPr>
        <w:pStyle w:val="-0"/>
        <w:ind w:firstLine="420"/>
      </w:pPr>
      <w:r>
        <w:rPr>
          <w:rFonts w:hint="eastAsia"/>
        </w:rPr>
        <w:t>基金管理人承诺以诚实信用、勤勉尽责的原则管理和运用基金资产，但不保证基金一定盈利。</w:t>
      </w:r>
    </w:p>
    <w:p w:rsidR="005B1731" w:rsidRDefault="005B1731" w:rsidP="005B1731">
      <w:pPr>
        <w:pStyle w:val="-0"/>
        <w:ind w:firstLine="420"/>
      </w:pPr>
      <w:r>
        <w:rPr>
          <w:rFonts w:hint="eastAsia"/>
        </w:rPr>
        <w:t>基金的过往业绩并不代表其未来表现。投资有风险，投资者在作出投资决策前应仔细阅读本基金的招募说明书。</w:t>
      </w:r>
    </w:p>
    <w:p w:rsidR="005B1731" w:rsidRDefault="005B1731" w:rsidP="005B1731">
      <w:pPr>
        <w:pStyle w:val="-0"/>
        <w:ind w:firstLine="420"/>
      </w:pPr>
      <w:r>
        <w:rPr>
          <w:rFonts w:hint="eastAsia"/>
        </w:rPr>
        <w:t>本报告中财务资料未经审计。</w:t>
      </w:r>
    </w:p>
    <w:p w:rsidR="005B1731" w:rsidRDefault="005B1731" w:rsidP="005B1731">
      <w:pPr>
        <w:pStyle w:val="-0"/>
        <w:ind w:firstLine="420"/>
      </w:pPr>
      <w:r>
        <w:rPr>
          <w:rFonts w:hint="eastAsia"/>
        </w:rPr>
        <w:t>本报告期自2018年4月1日起至6月30日止。</w:t>
      </w:r>
    </w:p>
    <w:p w:rsidR="005B1731" w:rsidRDefault="005B1731" w:rsidP="005B1731">
      <w:pPr>
        <w:pStyle w:val="-1"/>
        <w:numPr>
          <w:ilvl w:val="0"/>
          <w:numId w:val="9"/>
        </w:numPr>
        <w:shd w:val="clear" w:color="auto" w:fill="auto"/>
        <w:ind w:left="281" w:hangingChars="100" w:hanging="281"/>
      </w:pPr>
      <w:r>
        <w:rPr>
          <w:rFonts w:hint="eastAsia"/>
        </w:rPr>
        <w:t>基金产品概况</w:t>
      </w:r>
    </w:p>
    <w:p w:rsidR="005B1731" w:rsidRDefault="005B1731" w:rsidP="005B1731">
      <w:pPr>
        <w:pStyle w:val="-2"/>
        <w:numPr>
          <w:ilvl w:val="1"/>
          <w:numId w:val="9"/>
        </w:numPr>
        <w:adjustRightInd/>
        <w:snapToGrid/>
        <w:spacing w:beforeLines="100" w:before="312" w:after="100" w:afterAutospacing="1" w:line="240" w:lineRule="auto"/>
        <w:ind w:left="0" w:firstLine="0"/>
      </w:pPr>
      <w:r>
        <w:rPr>
          <w:rFonts w:hint="eastAsia"/>
        </w:rPr>
        <w:t>基金基本情况</w:t>
      </w:r>
    </w:p>
    <w:tbl>
      <w:tblPr>
        <w:tblStyle w:val="-noheader"/>
        <w:tblW w:w="0" w:type="auto"/>
        <w:tblLayout w:type="fixed"/>
        <w:tblLook w:val="04A0" w:firstRow="1" w:lastRow="0" w:firstColumn="1" w:lastColumn="0" w:noHBand="0" w:noVBand="1"/>
      </w:tblPr>
      <w:tblGrid>
        <w:gridCol w:w="2840"/>
        <w:gridCol w:w="2841"/>
        <w:gridCol w:w="2841"/>
      </w:tblGrid>
      <w:tr w:rsidR="005B1731" w:rsidTr="00E82BE2">
        <w:tc>
          <w:tcPr>
            <w:tcW w:w="2840" w:type="dxa"/>
          </w:tcPr>
          <w:p w:rsidR="005B1731" w:rsidRDefault="005B1731" w:rsidP="00E82BE2">
            <w:pPr>
              <w:jc w:val="left"/>
            </w:pPr>
            <w:r>
              <w:rPr>
                <w:rFonts w:hint="eastAsia"/>
              </w:rPr>
              <w:t>基金简称</w:t>
            </w:r>
          </w:p>
        </w:tc>
        <w:tc>
          <w:tcPr>
            <w:tcW w:w="5682" w:type="dxa"/>
            <w:gridSpan w:val="2"/>
          </w:tcPr>
          <w:p w:rsidR="005B1731" w:rsidRDefault="005B1731" w:rsidP="00E82BE2">
            <w:pPr>
              <w:jc w:val="left"/>
            </w:pPr>
            <w:r>
              <w:rPr>
                <w:rFonts w:hint="eastAsia"/>
              </w:rPr>
              <w:t>南方全指证券联接</w:t>
            </w:r>
          </w:p>
        </w:tc>
      </w:tr>
      <w:tr w:rsidR="005B1731" w:rsidTr="00E82BE2">
        <w:tc>
          <w:tcPr>
            <w:tcW w:w="2840" w:type="dxa"/>
          </w:tcPr>
          <w:p w:rsidR="005B1731" w:rsidRDefault="005B1731" w:rsidP="00E82BE2">
            <w:pPr>
              <w:jc w:val="left"/>
            </w:pPr>
            <w:r>
              <w:rPr>
                <w:rFonts w:hint="eastAsia"/>
              </w:rPr>
              <w:t>基金主代码</w:t>
            </w:r>
          </w:p>
        </w:tc>
        <w:tc>
          <w:tcPr>
            <w:tcW w:w="5682" w:type="dxa"/>
            <w:gridSpan w:val="2"/>
          </w:tcPr>
          <w:p w:rsidR="005B1731" w:rsidRDefault="005B1731" w:rsidP="00E82BE2">
            <w:pPr>
              <w:jc w:val="left"/>
            </w:pPr>
            <w:r>
              <w:t>004069</w:t>
            </w:r>
          </w:p>
        </w:tc>
      </w:tr>
      <w:tr w:rsidR="005B1731" w:rsidTr="00E82BE2">
        <w:tc>
          <w:tcPr>
            <w:tcW w:w="2840" w:type="dxa"/>
          </w:tcPr>
          <w:p w:rsidR="005B1731" w:rsidRPr="00CE126A" w:rsidRDefault="00A2376A" w:rsidP="00E82BE2">
            <w:pPr>
              <w:jc w:val="left"/>
            </w:pPr>
            <w:r w:rsidRPr="00CE126A">
              <w:rPr>
                <w:rFonts w:ascii="宋体" w:hAnsi="宋体" w:hint="eastAsia"/>
                <w:color w:val="280BFD"/>
                <w:sz w:val="21"/>
                <w:szCs w:val="21"/>
                <w:lang w:val="x-none" w:eastAsia="x-none"/>
              </w:rPr>
              <w:t>[del]</w:t>
            </w:r>
            <w:r w:rsidRPr="00BA52DB">
              <w:rPr>
                <w:rFonts w:ascii="宋体" w:hAnsi="宋体" w:hint="eastAsia"/>
                <w:color w:val="280BFD"/>
                <w:sz w:val="21"/>
                <w:szCs w:val="21"/>
                <w:lang w:val="x-none" w:eastAsia="x-none"/>
              </w:rPr>
              <w:t>基金主</w:t>
            </w:r>
            <w:r w:rsidRPr="00CE126A">
              <w:rPr>
                <w:rFonts w:ascii="宋体" w:hAnsi="宋体" w:hint="eastAsia"/>
                <w:color w:val="280BFD"/>
                <w:sz w:val="21"/>
                <w:szCs w:val="21"/>
                <w:lang w:val="x-none" w:eastAsia="x-none"/>
              </w:rPr>
              <w:t>[/del][add]</w:t>
            </w:r>
            <w:r w:rsidR="005B1731" w:rsidRPr="00BA52DB">
              <w:rPr>
                <w:rFonts w:ascii="宋体" w:hAnsi="宋体" w:hint="eastAsia"/>
                <w:color w:val="0000FF"/>
                <w:sz w:val="21"/>
                <w:szCs w:val="21"/>
                <w:lang w:val="x-none" w:eastAsia="x-none"/>
              </w:rPr>
              <w:t>交易</w:t>
            </w:r>
            <w:r w:rsidRPr="00CE126A">
              <w:rPr>
                <w:rFonts w:ascii="宋体" w:hAnsi="宋体" w:hint="eastAsia"/>
                <w:color w:val="280BFD"/>
                <w:sz w:val="21"/>
                <w:szCs w:val="21"/>
                <w:lang w:val="x-none" w:eastAsia="x-none"/>
              </w:rPr>
              <w:t>[/add]</w:t>
            </w:r>
            <w:r w:rsidR="005B1731" w:rsidRPr="00CE126A">
              <w:rPr>
                <w:rFonts w:hint="eastAsia"/>
              </w:rPr>
              <w:t>代码</w:t>
            </w:r>
          </w:p>
        </w:tc>
        <w:tc>
          <w:tcPr>
            <w:tcW w:w="5682" w:type="dxa"/>
            <w:gridSpan w:val="2"/>
          </w:tcPr>
          <w:p w:rsidR="005B1731" w:rsidRDefault="00E41339" w:rsidP="00E82BE2">
            <w:pPr>
              <w:jc w:val="left"/>
            </w:pPr>
            <w:r w:rsidRPr="00CE126A">
              <w:rPr>
                <w:rFonts w:ascii="宋体" w:hAnsi="宋体" w:hint="eastAsia"/>
                <w:color w:val="280BFD"/>
                <w:sz w:val="21"/>
                <w:szCs w:val="21"/>
                <w:lang w:val="x-none" w:eastAsia="x-none"/>
              </w:rPr>
              <w:t>[del]160119[</w:t>
            </w:r>
            <w:r w:rsidR="00F43FBF">
              <w:rPr>
                <w:rFonts w:ascii="宋体" w:hAnsi="宋体" w:hint="eastAsia"/>
                <w:color w:val="280BFD"/>
                <w:sz w:val="21"/>
                <w:szCs w:val="21"/>
                <w:lang w:val="x-none"/>
              </w:rPr>
              <w:t>/</w:t>
            </w:r>
            <w:r w:rsidRPr="00CE126A">
              <w:rPr>
                <w:rFonts w:ascii="宋体" w:hAnsi="宋体" w:hint="eastAsia"/>
                <w:color w:val="280BFD"/>
                <w:sz w:val="21"/>
                <w:szCs w:val="21"/>
                <w:lang w:val="x-none" w:eastAsia="x-none"/>
              </w:rPr>
              <w:t>del][add]</w:t>
            </w:r>
            <w:r w:rsidR="005B1731" w:rsidRPr="00BA52DB">
              <w:rPr>
                <w:rFonts w:ascii="宋体" w:hAnsi="宋体"/>
                <w:color w:val="0000FF"/>
                <w:sz w:val="21"/>
                <w:szCs w:val="21"/>
                <w:lang w:val="x-none" w:eastAsia="x-none"/>
              </w:rPr>
              <w:t>004069</w:t>
            </w:r>
            <w:r w:rsidRPr="00CE126A">
              <w:rPr>
                <w:rFonts w:ascii="宋体" w:hAnsi="宋体" w:hint="eastAsia"/>
                <w:color w:val="280BFD"/>
                <w:sz w:val="21"/>
                <w:szCs w:val="21"/>
                <w:lang w:val="x-none" w:eastAsia="x-none"/>
              </w:rPr>
              <w:t>[/add]</w:t>
            </w:r>
          </w:p>
        </w:tc>
      </w:tr>
      <w:tr w:rsidR="005B1731" w:rsidTr="00E82BE2">
        <w:tc>
          <w:tcPr>
            <w:tcW w:w="2840" w:type="dxa"/>
          </w:tcPr>
          <w:p w:rsidR="005B1731" w:rsidRDefault="005B1731" w:rsidP="00E82BE2">
            <w:pPr>
              <w:jc w:val="left"/>
            </w:pPr>
            <w:r>
              <w:rPr>
                <w:rFonts w:hint="eastAsia"/>
              </w:rPr>
              <w:t>基金运作方式</w:t>
            </w:r>
          </w:p>
        </w:tc>
        <w:tc>
          <w:tcPr>
            <w:tcW w:w="5682" w:type="dxa"/>
            <w:gridSpan w:val="2"/>
          </w:tcPr>
          <w:p w:rsidR="005B1731" w:rsidRDefault="005B1731" w:rsidP="00E82BE2">
            <w:pPr>
              <w:jc w:val="left"/>
            </w:pPr>
            <w:r>
              <w:rPr>
                <w:rFonts w:hint="eastAsia"/>
              </w:rPr>
              <w:t>契约型开放式</w:t>
            </w:r>
          </w:p>
        </w:tc>
      </w:tr>
      <w:tr w:rsidR="005B1731" w:rsidTr="00E82BE2">
        <w:tc>
          <w:tcPr>
            <w:tcW w:w="2840" w:type="dxa"/>
          </w:tcPr>
          <w:p w:rsidR="005B1731" w:rsidRDefault="005B1731" w:rsidP="00E82BE2">
            <w:pPr>
              <w:jc w:val="left"/>
            </w:pPr>
            <w:r>
              <w:rPr>
                <w:rFonts w:hint="eastAsia"/>
              </w:rPr>
              <w:t>基金合同生效日</w:t>
            </w:r>
          </w:p>
        </w:tc>
        <w:tc>
          <w:tcPr>
            <w:tcW w:w="5682" w:type="dxa"/>
            <w:gridSpan w:val="2"/>
          </w:tcPr>
          <w:p w:rsidR="005B1731" w:rsidRDefault="005B1731" w:rsidP="00E82BE2">
            <w:pPr>
              <w:jc w:val="left"/>
            </w:pPr>
            <w:r>
              <w:rPr>
                <w:rFonts w:hint="eastAsia"/>
              </w:rPr>
              <w:t>2017</w:t>
            </w:r>
            <w:r>
              <w:rPr>
                <w:rFonts w:hint="eastAsia"/>
              </w:rPr>
              <w:t>年</w:t>
            </w:r>
            <w:r>
              <w:rPr>
                <w:rFonts w:hint="eastAsia"/>
              </w:rPr>
              <w:t>3</w:t>
            </w:r>
            <w:r>
              <w:rPr>
                <w:rFonts w:hint="eastAsia"/>
              </w:rPr>
              <w:t>月</w:t>
            </w:r>
            <w:r>
              <w:rPr>
                <w:rFonts w:hint="eastAsia"/>
              </w:rPr>
              <w:t>8</w:t>
            </w:r>
            <w:r>
              <w:rPr>
                <w:rFonts w:hint="eastAsia"/>
              </w:rPr>
              <w:t>日</w:t>
            </w:r>
          </w:p>
        </w:tc>
      </w:tr>
      <w:tr w:rsidR="005B1731" w:rsidTr="00E82BE2">
        <w:tc>
          <w:tcPr>
            <w:tcW w:w="2840" w:type="dxa"/>
          </w:tcPr>
          <w:p w:rsidR="005B1731" w:rsidRDefault="005B1731" w:rsidP="00E82BE2">
            <w:pPr>
              <w:jc w:val="left"/>
            </w:pPr>
            <w:r>
              <w:rPr>
                <w:rFonts w:hint="eastAsia"/>
              </w:rPr>
              <w:t>报告期末基金份额总额</w:t>
            </w:r>
          </w:p>
        </w:tc>
        <w:tc>
          <w:tcPr>
            <w:tcW w:w="5682" w:type="dxa"/>
            <w:gridSpan w:val="2"/>
          </w:tcPr>
          <w:p w:rsidR="005B1731" w:rsidRDefault="005B1731" w:rsidP="00E82BE2">
            <w:pPr>
              <w:jc w:val="left"/>
            </w:pPr>
            <w:r>
              <w:rPr>
                <w:rFonts w:hint="eastAsia"/>
              </w:rPr>
              <w:t>332,300,100.30</w:t>
            </w:r>
            <w:r>
              <w:rPr>
                <w:rFonts w:hint="eastAsia"/>
              </w:rPr>
              <w:t>份</w:t>
            </w:r>
          </w:p>
        </w:tc>
      </w:tr>
      <w:tr w:rsidR="005B1731" w:rsidTr="00E82BE2">
        <w:tc>
          <w:tcPr>
            <w:tcW w:w="2840" w:type="dxa"/>
          </w:tcPr>
          <w:p w:rsidR="005B1731" w:rsidRDefault="005B1731" w:rsidP="00E82BE2">
            <w:pPr>
              <w:jc w:val="left"/>
            </w:pPr>
            <w:r>
              <w:rPr>
                <w:rFonts w:hint="eastAsia"/>
              </w:rPr>
              <w:t>投资目标</w:t>
            </w:r>
          </w:p>
        </w:tc>
        <w:tc>
          <w:tcPr>
            <w:tcW w:w="5682" w:type="dxa"/>
            <w:gridSpan w:val="2"/>
          </w:tcPr>
          <w:p w:rsidR="005B1731" w:rsidRDefault="005B1731" w:rsidP="00E82BE2">
            <w:pPr>
              <w:jc w:val="left"/>
            </w:pPr>
            <w:r>
              <w:rPr>
                <w:rFonts w:hint="eastAsia"/>
              </w:rPr>
              <w:t>本基金通过投资于目标</w:t>
            </w:r>
            <w:r>
              <w:rPr>
                <w:rFonts w:hint="eastAsia"/>
              </w:rPr>
              <w:t>ETF</w:t>
            </w:r>
            <w:r>
              <w:rPr>
                <w:rFonts w:hint="eastAsia"/>
              </w:rPr>
              <w:t>，紧密跟踪</w:t>
            </w:r>
            <w:r w:rsidR="005C00A4" w:rsidRPr="005C00A4">
              <w:rPr>
                <w:rFonts w:ascii="宋体" w:hAnsi="宋体" w:hint="eastAsia"/>
                <w:color w:val="280BFD"/>
                <w:sz w:val="21"/>
                <w:szCs w:val="21"/>
                <w:lang w:val="x-none" w:eastAsia="x-none"/>
              </w:rPr>
              <w:t>[add]</w:t>
            </w:r>
            <w:r w:rsidRPr="00BA52DB">
              <w:rPr>
                <w:rFonts w:ascii="宋体" w:hAnsi="宋体" w:hint="eastAsia"/>
                <w:color w:val="0000FF"/>
                <w:sz w:val="21"/>
                <w:szCs w:val="21"/>
                <w:lang w:val="x-none" w:eastAsia="x-none"/>
              </w:rPr>
              <w:t>标的指数，追求与</w:t>
            </w:r>
            <w:r w:rsidR="005C00A4" w:rsidRPr="005C00A4">
              <w:rPr>
                <w:rFonts w:ascii="宋体" w:hAnsi="宋体" w:hint="eastAsia"/>
                <w:color w:val="280BFD"/>
                <w:sz w:val="21"/>
                <w:szCs w:val="21"/>
                <w:lang w:val="x-none" w:eastAsia="x-none"/>
              </w:rPr>
              <w:t>[/add]</w:t>
            </w:r>
            <w:r>
              <w:rPr>
                <w:rFonts w:hint="eastAsia"/>
              </w:rPr>
              <w:t>业绩比较基准</w:t>
            </w:r>
            <w:r w:rsidR="005C00A4" w:rsidRPr="005C00A4">
              <w:rPr>
                <w:rFonts w:hint="eastAsia"/>
                <w:color w:val="280BFD"/>
              </w:rPr>
              <w:t>[del</w:t>
            </w:r>
            <w:r w:rsidR="005C00A4" w:rsidRPr="00BA52DB">
              <w:rPr>
                <w:rFonts w:ascii="宋体" w:hAnsi="宋体" w:hint="eastAsia"/>
                <w:color w:val="280BFD"/>
                <w:sz w:val="21"/>
                <w:szCs w:val="21"/>
                <w:lang w:val="x-none" w:eastAsia="x-none"/>
              </w:rPr>
              <w:t>]，追求跟踪偏离度和跟踪误差最小化。</w:t>
            </w:r>
            <w:r w:rsidR="005C00A4" w:rsidRPr="005C00A4">
              <w:rPr>
                <w:rFonts w:hint="eastAsia"/>
                <w:color w:val="280BFD"/>
              </w:rPr>
              <w:t>[/del]</w:t>
            </w:r>
            <w:r>
              <w:rPr>
                <w:rFonts w:hint="eastAsia"/>
              </w:rPr>
              <w:t>相似的回报。</w:t>
            </w:r>
          </w:p>
        </w:tc>
      </w:tr>
      <w:tr w:rsidR="005B1731" w:rsidTr="00E82BE2">
        <w:tc>
          <w:tcPr>
            <w:tcW w:w="2840" w:type="dxa"/>
          </w:tcPr>
          <w:p w:rsidR="005B1731" w:rsidRDefault="005B1731" w:rsidP="00E82BE2">
            <w:pPr>
              <w:jc w:val="left"/>
            </w:pPr>
            <w:r>
              <w:rPr>
                <w:rFonts w:hint="eastAsia"/>
              </w:rPr>
              <w:t>投资策略</w:t>
            </w:r>
          </w:p>
        </w:tc>
        <w:tc>
          <w:tcPr>
            <w:tcW w:w="5682" w:type="dxa"/>
            <w:gridSpan w:val="2"/>
          </w:tcPr>
          <w:p w:rsidR="005B1731" w:rsidRDefault="005B1731" w:rsidP="00E82BE2">
            <w:pPr>
              <w:jc w:val="left"/>
            </w:pPr>
            <w:r>
              <w:rPr>
                <w:rFonts w:hint="eastAsia"/>
              </w:rPr>
              <w:t>本基金以目标</w:t>
            </w:r>
            <w:r>
              <w:rPr>
                <w:rFonts w:hint="eastAsia"/>
              </w:rPr>
              <w:t>ETF</w:t>
            </w:r>
            <w:r>
              <w:rPr>
                <w:rFonts w:hint="eastAsia"/>
              </w:rPr>
              <w:t>作为其主要投资标的，方便特定的客户群通过本基金投资目标</w:t>
            </w:r>
            <w:r>
              <w:rPr>
                <w:rFonts w:hint="eastAsia"/>
              </w:rPr>
              <w:t>ETF</w:t>
            </w:r>
            <w:r>
              <w:rPr>
                <w:rFonts w:hint="eastAsia"/>
              </w:rPr>
              <w:t>。本基金并不参与目标</w:t>
            </w:r>
            <w:r>
              <w:rPr>
                <w:rFonts w:hint="eastAsia"/>
              </w:rPr>
              <w:t>ETF</w:t>
            </w:r>
            <w:r>
              <w:rPr>
                <w:rFonts w:hint="eastAsia"/>
              </w:rPr>
              <w:t>的管理。在正常市场情况下，本基金力争净值增长率与业绩比较基准之间的日均跟踪偏离度不超过</w:t>
            </w:r>
            <w:r>
              <w:rPr>
                <w:rFonts w:hint="eastAsia"/>
              </w:rPr>
              <w:t>0.35%</w:t>
            </w:r>
            <w:r>
              <w:rPr>
                <w:rFonts w:hint="eastAsia"/>
              </w:rPr>
              <w:t>，年跟踪误差不超过</w:t>
            </w:r>
            <w:r>
              <w:rPr>
                <w:rFonts w:hint="eastAsia"/>
              </w:rPr>
              <w:t>4%</w:t>
            </w:r>
            <w:r>
              <w:rPr>
                <w:rFonts w:hint="eastAsia"/>
              </w:rPr>
              <w:t>。如因指数编制规则调整或其他因素导致跟踪偏离度和跟踪误差超过上述范围，基金管理人应采取合理措施避免跟踪偏离度、跟踪误差进一步扩大。</w:t>
            </w:r>
          </w:p>
        </w:tc>
      </w:tr>
      <w:tr w:rsidR="005B1731" w:rsidTr="00E82BE2">
        <w:tc>
          <w:tcPr>
            <w:tcW w:w="2840" w:type="dxa"/>
          </w:tcPr>
          <w:p w:rsidR="005B1731" w:rsidRDefault="005B1731" w:rsidP="00E82BE2">
            <w:pPr>
              <w:jc w:val="left"/>
            </w:pPr>
            <w:r>
              <w:rPr>
                <w:rFonts w:hint="eastAsia"/>
              </w:rPr>
              <w:t>业绩比较基准</w:t>
            </w:r>
          </w:p>
        </w:tc>
        <w:tc>
          <w:tcPr>
            <w:tcW w:w="5682" w:type="dxa"/>
            <w:gridSpan w:val="2"/>
          </w:tcPr>
          <w:p w:rsidR="005B1731" w:rsidRDefault="005B1731" w:rsidP="00E82BE2">
            <w:pPr>
              <w:jc w:val="left"/>
            </w:pPr>
            <w:r>
              <w:rPr>
                <w:rFonts w:hint="eastAsia"/>
              </w:rPr>
              <w:t>本基金业绩比较基准为标的指数收益率×</w:t>
            </w:r>
            <w:r>
              <w:rPr>
                <w:rFonts w:hint="eastAsia"/>
              </w:rPr>
              <w:t>95%+</w:t>
            </w:r>
            <w:r>
              <w:rPr>
                <w:rFonts w:hint="eastAsia"/>
              </w:rPr>
              <w:t>银行人民币活期存款利率（税后）×</w:t>
            </w:r>
            <w:r>
              <w:rPr>
                <w:rFonts w:hint="eastAsia"/>
              </w:rPr>
              <w:t>5%</w:t>
            </w:r>
            <w:r>
              <w:rPr>
                <w:rFonts w:hint="eastAsia"/>
              </w:rPr>
              <w:t>。本基金标的指数为中证全指证券公司指数。</w:t>
            </w:r>
          </w:p>
        </w:tc>
      </w:tr>
      <w:tr w:rsidR="005B1731" w:rsidTr="00E82BE2">
        <w:tc>
          <w:tcPr>
            <w:tcW w:w="2840" w:type="dxa"/>
          </w:tcPr>
          <w:p w:rsidR="005B1731" w:rsidRDefault="005B1731" w:rsidP="00E82BE2">
            <w:pPr>
              <w:jc w:val="left"/>
            </w:pPr>
            <w:r>
              <w:rPr>
                <w:rFonts w:hint="eastAsia"/>
              </w:rPr>
              <w:lastRenderedPageBreak/>
              <w:t>风险收益特征</w:t>
            </w:r>
          </w:p>
        </w:tc>
        <w:tc>
          <w:tcPr>
            <w:tcW w:w="5682" w:type="dxa"/>
            <w:gridSpan w:val="2"/>
          </w:tcPr>
          <w:p w:rsidR="005B1731" w:rsidRDefault="005B1731" w:rsidP="00E82BE2">
            <w:pPr>
              <w:jc w:val="left"/>
            </w:pPr>
            <w:r>
              <w:rPr>
                <w:rFonts w:hint="eastAsia"/>
              </w:rPr>
              <w:t>本基金为股票型基金，其长期平均风险和预期收益水平高于混合型基金、债券型基金与货币市场基金。本基金为</w:t>
            </w:r>
            <w:r>
              <w:rPr>
                <w:rFonts w:hint="eastAsia"/>
              </w:rPr>
              <w:t>ETF</w:t>
            </w:r>
            <w:r>
              <w:rPr>
                <w:rFonts w:hint="eastAsia"/>
              </w:rPr>
              <w:t>联接基金，通过投资于目标</w:t>
            </w:r>
            <w:r>
              <w:rPr>
                <w:rFonts w:hint="eastAsia"/>
              </w:rPr>
              <w:t>ETF</w:t>
            </w:r>
            <w:r>
              <w:rPr>
                <w:rFonts w:hint="eastAsia"/>
              </w:rPr>
              <w:t>跟踪标的指数表现，具有与标的指数以及标的指数所代表的证券市场相似的风险收益特征。</w:t>
            </w:r>
          </w:p>
        </w:tc>
      </w:tr>
      <w:tr w:rsidR="005B1731" w:rsidTr="00E82BE2">
        <w:tc>
          <w:tcPr>
            <w:tcW w:w="2840" w:type="dxa"/>
          </w:tcPr>
          <w:p w:rsidR="005B1731" w:rsidRDefault="005B1731" w:rsidP="00E82BE2">
            <w:pPr>
              <w:jc w:val="left"/>
            </w:pPr>
            <w:r>
              <w:rPr>
                <w:rFonts w:hint="eastAsia"/>
              </w:rPr>
              <w:t>基金管理人</w:t>
            </w:r>
          </w:p>
        </w:tc>
        <w:tc>
          <w:tcPr>
            <w:tcW w:w="5682" w:type="dxa"/>
            <w:gridSpan w:val="2"/>
          </w:tcPr>
          <w:p w:rsidR="005B1731" w:rsidRDefault="005B1731" w:rsidP="00E82BE2">
            <w:pPr>
              <w:jc w:val="left"/>
            </w:pPr>
            <w:r>
              <w:rPr>
                <w:rFonts w:hint="eastAsia"/>
              </w:rPr>
              <w:t>南方基金管理股份有限公司</w:t>
            </w:r>
          </w:p>
        </w:tc>
      </w:tr>
      <w:tr w:rsidR="005B1731" w:rsidTr="00E82BE2">
        <w:tc>
          <w:tcPr>
            <w:tcW w:w="2840" w:type="dxa"/>
          </w:tcPr>
          <w:p w:rsidR="005B1731" w:rsidRDefault="005B1731" w:rsidP="00E82BE2">
            <w:pPr>
              <w:jc w:val="left"/>
            </w:pPr>
            <w:r>
              <w:rPr>
                <w:rFonts w:hint="eastAsia"/>
              </w:rPr>
              <w:t>基金托管人</w:t>
            </w:r>
          </w:p>
        </w:tc>
        <w:tc>
          <w:tcPr>
            <w:tcW w:w="5682" w:type="dxa"/>
            <w:gridSpan w:val="2"/>
          </w:tcPr>
          <w:p w:rsidR="005B1731" w:rsidRDefault="005B1731" w:rsidP="00E82BE2">
            <w:pPr>
              <w:jc w:val="left"/>
            </w:pPr>
            <w:r>
              <w:rPr>
                <w:rFonts w:hint="eastAsia"/>
              </w:rPr>
              <w:t>中国银行股份有限公司</w:t>
            </w:r>
          </w:p>
        </w:tc>
      </w:tr>
      <w:tr w:rsidR="005B1731" w:rsidTr="00E82BE2">
        <w:tc>
          <w:tcPr>
            <w:tcW w:w="2840" w:type="dxa"/>
          </w:tcPr>
          <w:p w:rsidR="005B1731" w:rsidRDefault="005B1731" w:rsidP="00E82BE2">
            <w:pPr>
              <w:jc w:val="left"/>
            </w:pPr>
            <w:r>
              <w:rPr>
                <w:rFonts w:hint="eastAsia"/>
              </w:rPr>
              <w:t>下属分级基金的基金简称</w:t>
            </w:r>
          </w:p>
        </w:tc>
        <w:tc>
          <w:tcPr>
            <w:tcW w:w="2841" w:type="dxa"/>
          </w:tcPr>
          <w:p w:rsidR="005B1731" w:rsidRDefault="005B1731" w:rsidP="00E82BE2">
            <w:pPr>
              <w:jc w:val="left"/>
            </w:pPr>
            <w:r>
              <w:rPr>
                <w:rFonts w:hint="eastAsia"/>
              </w:rPr>
              <w:t>南方全指证券联接</w:t>
            </w:r>
            <w:r>
              <w:rPr>
                <w:rFonts w:hint="eastAsia"/>
              </w:rPr>
              <w:t>A</w:t>
            </w:r>
          </w:p>
        </w:tc>
        <w:tc>
          <w:tcPr>
            <w:tcW w:w="2841" w:type="dxa"/>
          </w:tcPr>
          <w:p w:rsidR="005B1731" w:rsidRDefault="005B1731" w:rsidP="00E82BE2">
            <w:pPr>
              <w:jc w:val="left"/>
            </w:pPr>
            <w:r>
              <w:rPr>
                <w:rFonts w:hint="eastAsia"/>
              </w:rPr>
              <w:t>南方全指证券联接</w:t>
            </w:r>
            <w:r>
              <w:rPr>
                <w:rFonts w:hint="eastAsia"/>
              </w:rPr>
              <w:t>C</w:t>
            </w:r>
          </w:p>
        </w:tc>
      </w:tr>
      <w:tr w:rsidR="005B1731" w:rsidTr="00E82BE2">
        <w:tc>
          <w:tcPr>
            <w:tcW w:w="2840" w:type="dxa"/>
          </w:tcPr>
          <w:p w:rsidR="005B1731" w:rsidRDefault="005B1731" w:rsidP="00E82BE2">
            <w:pPr>
              <w:jc w:val="left"/>
            </w:pPr>
            <w:r>
              <w:rPr>
                <w:rFonts w:hint="eastAsia"/>
              </w:rPr>
              <w:t>下属分级基金的交易代码</w:t>
            </w:r>
          </w:p>
        </w:tc>
        <w:tc>
          <w:tcPr>
            <w:tcW w:w="2841" w:type="dxa"/>
          </w:tcPr>
          <w:p w:rsidR="005B1731" w:rsidRDefault="005B1731" w:rsidP="00E82BE2">
            <w:pPr>
              <w:jc w:val="left"/>
            </w:pPr>
            <w:r>
              <w:t>004069</w:t>
            </w:r>
          </w:p>
        </w:tc>
        <w:tc>
          <w:tcPr>
            <w:tcW w:w="2841" w:type="dxa"/>
          </w:tcPr>
          <w:p w:rsidR="005B1731" w:rsidRDefault="005B1731" w:rsidP="00E82BE2">
            <w:pPr>
              <w:jc w:val="left"/>
            </w:pPr>
            <w:r>
              <w:t>004070</w:t>
            </w:r>
          </w:p>
        </w:tc>
      </w:tr>
      <w:tr w:rsidR="005B1731" w:rsidRPr="00CE126A" w:rsidTr="00E82BE2">
        <w:tc>
          <w:tcPr>
            <w:tcW w:w="2840" w:type="dxa"/>
          </w:tcPr>
          <w:p w:rsidR="005B1731" w:rsidRPr="00CE126A" w:rsidRDefault="00307C0F" w:rsidP="00E82BE2">
            <w:pPr>
              <w:jc w:val="left"/>
              <w:rPr>
                <w:rFonts w:ascii="宋体" w:hAnsi="宋体"/>
                <w:color w:val="280BFD"/>
                <w:sz w:val="21"/>
                <w:szCs w:val="21"/>
                <w:lang w:val="x-none" w:eastAsia="x-none"/>
              </w:rPr>
            </w:pPr>
            <w:r w:rsidRPr="00CE126A">
              <w:rPr>
                <w:rFonts w:ascii="宋体" w:hAnsi="宋体" w:hint="eastAsia"/>
                <w:color w:val="280BFD"/>
                <w:sz w:val="21"/>
                <w:szCs w:val="21"/>
                <w:lang w:val="x-none" w:eastAsia="x-none"/>
              </w:rPr>
              <w:t>[add]</w:t>
            </w:r>
            <w:r w:rsidR="005B1731" w:rsidRPr="00BA52DB">
              <w:rPr>
                <w:rFonts w:ascii="宋体" w:hAnsi="宋体" w:hint="eastAsia"/>
                <w:color w:val="0000FF"/>
                <w:sz w:val="21"/>
                <w:szCs w:val="21"/>
                <w:lang w:val="x-none" w:eastAsia="x-none"/>
              </w:rPr>
              <w:t>报告期末下属分级基金的份额总额</w:t>
            </w:r>
            <w:r w:rsidRPr="00CE126A">
              <w:rPr>
                <w:rFonts w:ascii="宋体" w:hAnsi="宋体" w:hint="eastAsia"/>
                <w:color w:val="280BFD"/>
                <w:sz w:val="21"/>
                <w:szCs w:val="21"/>
                <w:lang w:val="x-none" w:eastAsia="x-none"/>
              </w:rPr>
              <w:t>[/add]</w:t>
            </w:r>
          </w:p>
        </w:tc>
        <w:tc>
          <w:tcPr>
            <w:tcW w:w="2841" w:type="dxa"/>
          </w:tcPr>
          <w:p w:rsidR="005B1731" w:rsidRPr="00CE126A" w:rsidRDefault="00307C0F" w:rsidP="00E82BE2">
            <w:pPr>
              <w:jc w:val="left"/>
              <w:rPr>
                <w:rFonts w:ascii="宋体" w:hAnsi="宋体"/>
                <w:color w:val="280BFD"/>
                <w:sz w:val="21"/>
                <w:szCs w:val="21"/>
                <w:lang w:val="x-none" w:eastAsia="x-none"/>
              </w:rPr>
            </w:pPr>
            <w:r w:rsidRPr="00CE126A">
              <w:rPr>
                <w:rFonts w:ascii="宋体" w:hAnsi="宋体" w:hint="eastAsia"/>
                <w:color w:val="280BFD"/>
                <w:sz w:val="21"/>
                <w:szCs w:val="21"/>
                <w:lang w:val="x-none" w:eastAsia="x-none"/>
              </w:rPr>
              <w:t>[add]</w:t>
            </w:r>
            <w:r w:rsidR="005B1731" w:rsidRPr="00BA52DB">
              <w:rPr>
                <w:rFonts w:ascii="宋体" w:hAnsi="宋体" w:hint="eastAsia"/>
                <w:color w:val="0000FF"/>
                <w:sz w:val="21"/>
                <w:szCs w:val="21"/>
                <w:lang w:val="x-none" w:eastAsia="x-none"/>
              </w:rPr>
              <w:t>95,176,113.02份</w:t>
            </w:r>
            <w:r w:rsidRPr="00CE126A">
              <w:rPr>
                <w:rFonts w:ascii="宋体" w:hAnsi="宋体" w:hint="eastAsia"/>
                <w:color w:val="280BFD"/>
                <w:sz w:val="21"/>
                <w:szCs w:val="21"/>
                <w:lang w:val="x-none" w:eastAsia="x-none"/>
              </w:rPr>
              <w:t>[/add]</w:t>
            </w:r>
          </w:p>
        </w:tc>
        <w:tc>
          <w:tcPr>
            <w:tcW w:w="2841" w:type="dxa"/>
          </w:tcPr>
          <w:p w:rsidR="005B1731" w:rsidRPr="00CE126A" w:rsidRDefault="00307C0F" w:rsidP="00E82BE2">
            <w:pPr>
              <w:jc w:val="left"/>
              <w:rPr>
                <w:rFonts w:ascii="宋体" w:hAnsi="宋体"/>
                <w:color w:val="280BFD"/>
                <w:sz w:val="21"/>
                <w:szCs w:val="21"/>
                <w:lang w:val="x-none" w:eastAsia="x-none"/>
              </w:rPr>
            </w:pPr>
            <w:r w:rsidRPr="00CE126A">
              <w:rPr>
                <w:rFonts w:ascii="宋体" w:hAnsi="宋体" w:hint="eastAsia"/>
                <w:color w:val="280BFD"/>
                <w:sz w:val="21"/>
                <w:szCs w:val="21"/>
                <w:lang w:val="x-none" w:eastAsia="x-none"/>
              </w:rPr>
              <w:t>[add]</w:t>
            </w:r>
            <w:r w:rsidR="005B1731" w:rsidRPr="00BA52DB">
              <w:rPr>
                <w:rFonts w:ascii="宋体" w:hAnsi="宋体" w:hint="eastAsia"/>
                <w:color w:val="0000FF"/>
                <w:sz w:val="21"/>
                <w:szCs w:val="21"/>
                <w:lang w:val="x-none" w:eastAsia="x-none"/>
              </w:rPr>
              <w:t>237,123,987.28份</w:t>
            </w:r>
            <w:r w:rsidRPr="00CE126A">
              <w:rPr>
                <w:rFonts w:ascii="宋体" w:hAnsi="宋体" w:hint="eastAsia"/>
                <w:color w:val="280BFD"/>
                <w:sz w:val="21"/>
                <w:szCs w:val="21"/>
                <w:lang w:val="x-none" w:eastAsia="x-none"/>
              </w:rPr>
              <w:t>[/add]</w:t>
            </w:r>
          </w:p>
        </w:tc>
      </w:tr>
    </w:tbl>
    <w:p w:rsidR="00A40E38" w:rsidRPr="00CE126A" w:rsidRDefault="00A40E38">
      <w:pPr>
        <w:rPr>
          <w:rFonts w:ascii="宋体" w:hAnsi="宋体"/>
          <w:color w:val="280BFD"/>
          <w:kern w:val="0"/>
          <w:szCs w:val="21"/>
          <w:lang w:val="x-none" w:eastAsia="x-none"/>
        </w:rPr>
      </w:pPr>
    </w:p>
    <w:p w:rsidR="00DA53E4" w:rsidRPr="00CE126A" w:rsidRDefault="00DA53E4">
      <w:pPr>
        <w:rPr>
          <w:rFonts w:ascii="宋体" w:hAnsi="宋体"/>
          <w:color w:val="280BFD"/>
          <w:kern w:val="0"/>
          <w:szCs w:val="21"/>
          <w:lang w:val="x-none" w:eastAsia="x-none"/>
        </w:rPr>
      </w:pPr>
      <w:r w:rsidRPr="00CE126A">
        <w:rPr>
          <w:rFonts w:ascii="宋体" w:hAnsi="宋体" w:hint="eastAsia"/>
          <w:color w:val="280BFD"/>
          <w:kern w:val="0"/>
          <w:szCs w:val="21"/>
          <w:lang w:val="x-none" w:eastAsia="x-none"/>
        </w:rPr>
        <w:t>[add]</w:t>
      </w:r>
      <w:r w:rsidRPr="00BA52DB">
        <w:rPr>
          <w:rFonts w:ascii="宋体" w:hAnsi="宋体" w:hint="eastAsia"/>
          <w:color w:val="0000FF"/>
          <w:kern w:val="0"/>
          <w:szCs w:val="21"/>
          <w:lang w:val="x-none" w:eastAsia="x-none"/>
        </w:rPr>
        <w:t>自基金合同生效以来基金累计份额净值增长率变动及其与同期业绩比较基准收益率变动的比较</w:t>
      </w:r>
      <w:r w:rsidRPr="00CE126A">
        <w:rPr>
          <w:rFonts w:ascii="宋体" w:hAnsi="宋体" w:hint="eastAsia"/>
          <w:color w:val="280BFD"/>
          <w:kern w:val="0"/>
          <w:szCs w:val="21"/>
          <w:lang w:val="x-none" w:eastAsia="x-none"/>
        </w:rPr>
        <w:t>[/add]</w:t>
      </w:r>
    </w:p>
    <w:sectPr w:rsidR="00DA53E4" w:rsidRPr="00CE1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619" w:rsidRDefault="004C1619" w:rsidP="00CE126A">
      <w:r>
        <w:separator/>
      </w:r>
    </w:p>
  </w:endnote>
  <w:endnote w:type="continuationSeparator" w:id="0">
    <w:p w:rsidR="004C1619" w:rsidRDefault="004C1619" w:rsidP="00CE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619" w:rsidRDefault="004C1619" w:rsidP="00CE126A">
      <w:r>
        <w:separator/>
      </w:r>
    </w:p>
  </w:footnote>
  <w:footnote w:type="continuationSeparator" w:id="0">
    <w:p w:rsidR="004C1619" w:rsidRDefault="004C1619" w:rsidP="00CE1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78E"/>
    <w:multiLevelType w:val="multilevel"/>
    <w:tmpl w:val="81260924"/>
    <w:lvl w:ilvl="0">
      <w:start w:val="1"/>
      <w:numFmt w:val="decimal"/>
      <w:pStyle w:val="-1"/>
      <w:suff w:val="space"/>
      <w:lvlText w:val="§%1"/>
      <w:lvlJc w:val="center"/>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pStyle w:val="-5"/>
      <w:suff w:val="space"/>
      <w:lvlText w:val="%1.%2.%3.%4.%5"/>
      <w:lvlJc w:val="left"/>
      <w:pPr>
        <w:ind w:left="2551" w:hanging="2551"/>
      </w:pPr>
      <w:rPr>
        <w:rFonts w:hint="eastAsia"/>
      </w:rPr>
    </w:lvl>
    <w:lvl w:ilvl="5">
      <w:start w:val="1"/>
      <w:numFmt w:val="decimal"/>
      <w:pStyle w:val="-6"/>
      <w:suff w:val="space"/>
      <w:lvlText w:val="%1.%2.%3.%4.%5.%6"/>
      <w:lvlJc w:val="left"/>
      <w:pPr>
        <w:ind w:left="3260" w:hanging="3260"/>
      </w:pPr>
      <w:rPr>
        <w:rFonts w:hint="eastAsia"/>
      </w:rPr>
    </w:lvl>
    <w:lvl w:ilvl="6">
      <w:start w:val="1"/>
      <w:numFmt w:val="decimal"/>
      <w:suff w:val="space"/>
      <w:lvlText w:val="%1.%2.%3.%4.%5.%6.%7"/>
      <w:lvlJc w:val="left"/>
      <w:pPr>
        <w:ind w:left="3827" w:hanging="3827"/>
      </w:pPr>
      <w:rPr>
        <w:rFonts w:hint="eastAsia"/>
      </w:rPr>
    </w:lvl>
    <w:lvl w:ilvl="7">
      <w:start w:val="1"/>
      <w:numFmt w:val="decimal"/>
      <w:suff w:val="space"/>
      <w:lvlText w:val="%1.%2.%3.%4.%5.%6.%7.%8"/>
      <w:lvlJc w:val="left"/>
      <w:pPr>
        <w:ind w:left="4394" w:hanging="4394"/>
      </w:pPr>
      <w:rPr>
        <w:rFonts w:hint="eastAsia"/>
      </w:rPr>
    </w:lvl>
    <w:lvl w:ilvl="8">
      <w:start w:val="1"/>
      <w:numFmt w:val="decimal"/>
      <w:suff w:val="space"/>
      <w:lvlText w:val="%1.%2.%3.%4.%5.%6.%7.%8.%9"/>
      <w:lvlJc w:val="left"/>
      <w:pPr>
        <w:ind w:left="5102" w:hanging="5102"/>
      </w:pPr>
      <w:rPr>
        <w:rFonts w:hint="eastAsia"/>
      </w:rPr>
    </w:lvl>
  </w:abstractNum>
  <w:abstractNum w:abstractNumId="1" w15:restartNumberingAfterBreak="0">
    <w:nsid w:val="395813B9"/>
    <w:multiLevelType w:val="hybridMultilevel"/>
    <w:tmpl w:val="EB34E172"/>
    <w:lvl w:ilvl="0" w:tplc="ABBE25FA">
      <w:start w:val="1"/>
      <w:numFmt w:val="decimal"/>
      <w:lvlText w:val="§%1 "/>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194CD3"/>
    <w:multiLevelType w:val="multilevel"/>
    <w:tmpl w:val="30DE088C"/>
    <w:lvl w:ilvl="0">
      <w:start w:val="1"/>
      <w:numFmt w:val="chineseCountingThousand"/>
      <w:suff w:val="space"/>
      <w:lvlText w:val="%1、"/>
      <w:lvlJc w:val="left"/>
      <w:pPr>
        <w:ind w:left="425" w:hanging="425"/>
      </w:pPr>
      <w:rPr>
        <w:rFonts w:hint="eastAsia"/>
      </w:rPr>
    </w:lvl>
    <w:lvl w:ilvl="1">
      <w:start w:val="1"/>
      <w:numFmt w:val="chineseCountingThousand"/>
      <w:suff w:val="space"/>
      <w:lvlText w:val="（%2）"/>
      <w:lvlJc w:val="left"/>
      <w:pPr>
        <w:ind w:left="992" w:hanging="992"/>
      </w:pPr>
      <w:rPr>
        <w:rFonts w:hint="eastAsia"/>
      </w:rPr>
    </w:lvl>
    <w:lvl w:ilvl="2">
      <w:start w:val="1"/>
      <w:numFmt w:val="decimal"/>
      <w:suff w:val="space"/>
      <w:lvlText w:val="%3、"/>
      <w:lvlJc w:val="left"/>
      <w:pPr>
        <w:ind w:left="1418" w:hanging="1418"/>
      </w:pPr>
      <w:rPr>
        <w:rFonts w:hint="eastAsia"/>
      </w:rPr>
    </w:lvl>
    <w:lvl w:ilvl="3">
      <w:start w:val="1"/>
      <w:numFmt w:val="decimal"/>
      <w:suff w:val="space"/>
      <w:lvlText w:val="（%4）"/>
      <w:lvlJc w:val="left"/>
      <w:pPr>
        <w:ind w:left="1984" w:hanging="1984"/>
      </w:pPr>
      <w:rPr>
        <w:rFonts w:hint="eastAsia"/>
      </w:rPr>
    </w:lvl>
    <w:lvl w:ilvl="4">
      <w:start w:val="1"/>
      <w:numFmt w:val="lowerLetter"/>
      <w:suff w:val="space"/>
      <w:lvlText w:val="%5"/>
      <w:lvlJc w:val="left"/>
      <w:pPr>
        <w:ind w:left="2551" w:hanging="2551"/>
      </w:pPr>
      <w:rPr>
        <w:rFonts w:hint="eastAsia"/>
      </w:rPr>
    </w:lvl>
    <w:lvl w:ilvl="5">
      <w:start w:val="1"/>
      <w:numFmt w:val="decimal"/>
      <w:suff w:val="space"/>
      <w:lvlText w:val="%6"/>
      <w:lvlJc w:val="left"/>
      <w:pPr>
        <w:ind w:left="3260" w:hanging="3260"/>
      </w:pPr>
      <w:rPr>
        <w:rFonts w:hint="eastAsia"/>
      </w:rPr>
    </w:lvl>
    <w:lvl w:ilvl="6">
      <w:start w:val="1"/>
      <w:numFmt w:val="decimal"/>
      <w:suff w:val="space"/>
      <w:lvlText w:val="%7"/>
      <w:lvlJc w:val="left"/>
      <w:pPr>
        <w:ind w:left="3827" w:hanging="3827"/>
      </w:pPr>
      <w:rPr>
        <w:rFonts w:hint="eastAsia"/>
      </w:rPr>
    </w:lvl>
    <w:lvl w:ilvl="7">
      <w:start w:val="1"/>
      <w:numFmt w:val="decimal"/>
      <w:suff w:val="space"/>
      <w:lvlText w:val="%8"/>
      <w:lvlJc w:val="left"/>
      <w:pPr>
        <w:ind w:left="4394" w:hanging="4394"/>
      </w:pPr>
      <w:rPr>
        <w:rFonts w:hint="eastAsia"/>
      </w:rPr>
    </w:lvl>
    <w:lvl w:ilvl="8">
      <w:start w:val="1"/>
      <w:numFmt w:val="decimal"/>
      <w:suff w:val="space"/>
      <w:lvlText w:val="%9"/>
      <w:lvlJc w:val="left"/>
      <w:pPr>
        <w:ind w:left="5102" w:hanging="5102"/>
      </w:pPr>
      <w:rPr>
        <w:rFonts w:hint="eastAsia"/>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8E2"/>
    <w:rsid w:val="000019CC"/>
    <w:rsid w:val="00022087"/>
    <w:rsid w:val="00040BBB"/>
    <w:rsid w:val="00051665"/>
    <w:rsid w:val="000552A1"/>
    <w:rsid w:val="000572AF"/>
    <w:rsid w:val="000611B6"/>
    <w:rsid w:val="00062E42"/>
    <w:rsid w:val="00091D82"/>
    <w:rsid w:val="000B001E"/>
    <w:rsid w:val="000B0533"/>
    <w:rsid w:val="000B6719"/>
    <w:rsid w:val="000E7723"/>
    <w:rsid w:val="000F294F"/>
    <w:rsid w:val="00104468"/>
    <w:rsid w:val="001064E5"/>
    <w:rsid w:val="00107F75"/>
    <w:rsid w:val="001263B2"/>
    <w:rsid w:val="00133EEA"/>
    <w:rsid w:val="00144847"/>
    <w:rsid w:val="00146690"/>
    <w:rsid w:val="00151CF9"/>
    <w:rsid w:val="00153DD1"/>
    <w:rsid w:val="00156484"/>
    <w:rsid w:val="001728F6"/>
    <w:rsid w:val="001A4402"/>
    <w:rsid w:val="001C23FE"/>
    <w:rsid w:val="001E1006"/>
    <w:rsid w:val="001F4408"/>
    <w:rsid w:val="00220DF9"/>
    <w:rsid w:val="00222FE8"/>
    <w:rsid w:val="00253D34"/>
    <w:rsid w:val="00261EC0"/>
    <w:rsid w:val="002702CF"/>
    <w:rsid w:val="0027522E"/>
    <w:rsid w:val="00277589"/>
    <w:rsid w:val="00284D82"/>
    <w:rsid w:val="00296349"/>
    <w:rsid w:val="002B2DFD"/>
    <w:rsid w:val="002B764F"/>
    <w:rsid w:val="002C0DB6"/>
    <w:rsid w:val="002D42A1"/>
    <w:rsid w:val="002E6428"/>
    <w:rsid w:val="002F6258"/>
    <w:rsid w:val="00307C0F"/>
    <w:rsid w:val="00310C7C"/>
    <w:rsid w:val="00324198"/>
    <w:rsid w:val="0032483E"/>
    <w:rsid w:val="00332000"/>
    <w:rsid w:val="00333BB3"/>
    <w:rsid w:val="00386591"/>
    <w:rsid w:val="00396570"/>
    <w:rsid w:val="003B448F"/>
    <w:rsid w:val="003B5C13"/>
    <w:rsid w:val="003C282B"/>
    <w:rsid w:val="003C4BE5"/>
    <w:rsid w:val="003C6EA8"/>
    <w:rsid w:val="00453D62"/>
    <w:rsid w:val="00461138"/>
    <w:rsid w:val="00474EE9"/>
    <w:rsid w:val="0048024F"/>
    <w:rsid w:val="004943EE"/>
    <w:rsid w:val="004C1306"/>
    <w:rsid w:val="004C13FD"/>
    <w:rsid w:val="004C1619"/>
    <w:rsid w:val="004C699B"/>
    <w:rsid w:val="004F337F"/>
    <w:rsid w:val="004F4FE3"/>
    <w:rsid w:val="004F7B2A"/>
    <w:rsid w:val="00513F91"/>
    <w:rsid w:val="005311A3"/>
    <w:rsid w:val="00546E6E"/>
    <w:rsid w:val="00564B01"/>
    <w:rsid w:val="00566D9A"/>
    <w:rsid w:val="005758E2"/>
    <w:rsid w:val="00581E19"/>
    <w:rsid w:val="00587D23"/>
    <w:rsid w:val="00590F5E"/>
    <w:rsid w:val="005962AC"/>
    <w:rsid w:val="005A6D94"/>
    <w:rsid w:val="005B1731"/>
    <w:rsid w:val="005C00A4"/>
    <w:rsid w:val="005C6BE0"/>
    <w:rsid w:val="005E3B6C"/>
    <w:rsid w:val="005E7744"/>
    <w:rsid w:val="005F5235"/>
    <w:rsid w:val="00604888"/>
    <w:rsid w:val="0061129E"/>
    <w:rsid w:val="006113CB"/>
    <w:rsid w:val="00621177"/>
    <w:rsid w:val="0062547C"/>
    <w:rsid w:val="0063144A"/>
    <w:rsid w:val="00651E3B"/>
    <w:rsid w:val="00656B0C"/>
    <w:rsid w:val="00687373"/>
    <w:rsid w:val="00690AA4"/>
    <w:rsid w:val="006C66FE"/>
    <w:rsid w:val="006D12B9"/>
    <w:rsid w:val="006E64C0"/>
    <w:rsid w:val="006F0533"/>
    <w:rsid w:val="007065DE"/>
    <w:rsid w:val="00713142"/>
    <w:rsid w:val="007204DD"/>
    <w:rsid w:val="00730CBC"/>
    <w:rsid w:val="007369B1"/>
    <w:rsid w:val="00742037"/>
    <w:rsid w:val="00744C78"/>
    <w:rsid w:val="00744F48"/>
    <w:rsid w:val="007479D6"/>
    <w:rsid w:val="0075396A"/>
    <w:rsid w:val="007553C1"/>
    <w:rsid w:val="00770EB0"/>
    <w:rsid w:val="00777596"/>
    <w:rsid w:val="007847A1"/>
    <w:rsid w:val="00793DD8"/>
    <w:rsid w:val="007B3CA1"/>
    <w:rsid w:val="007C25CF"/>
    <w:rsid w:val="007F0922"/>
    <w:rsid w:val="00804759"/>
    <w:rsid w:val="008115FD"/>
    <w:rsid w:val="00827A62"/>
    <w:rsid w:val="0084068E"/>
    <w:rsid w:val="00845020"/>
    <w:rsid w:val="0084574A"/>
    <w:rsid w:val="0088100D"/>
    <w:rsid w:val="008B7EFE"/>
    <w:rsid w:val="008D72AD"/>
    <w:rsid w:val="00902595"/>
    <w:rsid w:val="009051E0"/>
    <w:rsid w:val="00906149"/>
    <w:rsid w:val="00941084"/>
    <w:rsid w:val="00952369"/>
    <w:rsid w:val="00956E4A"/>
    <w:rsid w:val="0098797D"/>
    <w:rsid w:val="00992331"/>
    <w:rsid w:val="00997F62"/>
    <w:rsid w:val="009A3960"/>
    <w:rsid w:val="009A462A"/>
    <w:rsid w:val="009C4148"/>
    <w:rsid w:val="009D6298"/>
    <w:rsid w:val="009D6BB1"/>
    <w:rsid w:val="009E1341"/>
    <w:rsid w:val="009E7C5F"/>
    <w:rsid w:val="009F0F62"/>
    <w:rsid w:val="009F4EAF"/>
    <w:rsid w:val="009F5F5F"/>
    <w:rsid w:val="00A00031"/>
    <w:rsid w:val="00A02994"/>
    <w:rsid w:val="00A2376A"/>
    <w:rsid w:val="00A344D0"/>
    <w:rsid w:val="00A40E38"/>
    <w:rsid w:val="00A57AD9"/>
    <w:rsid w:val="00A652F7"/>
    <w:rsid w:val="00A765C3"/>
    <w:rsid w:val="00A82AF6"/>
    <w:rsid w:val="00A97C89"/>
    <w:rsid w:val="00AB47C5"/>
    <w:rsid w:val="00AD36DB"/>
    <w:rsid w:val="00AD4036"/>
    <w:rsid w:val="00AD4B1A"/>
    <w:rsid w:val="00B069E8"/>
    <w:rsid w:val="00B1416A"/>
    <w:rsid w:val="00B153F0"/>
    <w:rsid w:val="00B64DC2"/>
    <w:rsid w:val="00B74832"/>
    <w:rsid w:val="00B82D8E"/>
    <w:rsid w:val="00B91FC4"/>
    <w:rsid w:val="00B93484"/>
    <w:rsid w:val="00BA52DB"/>
    <w:rsid w:val="00BB3E65"/>
    <w:rsid w:val="00BC1E52"/>
    <w:rsid w:val="00BE0A94"/>
    <w:rsid w:val="00BE5905"/>
    <w:rsid w:val="00BE59DF"/>
    <w:rsid w:val="00C042BD"/>
    <w:rsid w:val="00C21BFB"/>
    <w:rsid w:val="00C26D44"/>
    <w:rsid w:val="00C370B3"/>
    <w:rsid w:val="00C43925"/>
    <w:rsid w:val="00C611D2"/>
    <w:rsid w:val="00C7586F"/>
    <w:rsid w:val="00C75D1A"/>
    <w:rsid w:val="00C95B35"/>
    <w:rsid w:val="00CA42AD"/>
    <w:rsid w:val="00CC0F75"/>
    <w:rsid w:val="00CC40B9"/>
    <w:rsid w:val="00CE126A"/>
    <w:rsid w:val="00CE2726"/>
    <w:rsid w:val="00D065F6"/>
    <w:rsid w:val="00D1726E"/>
    <w:rsid w:val="00D27CD2"/>
    <w:rsid w:val="00D302CB"/>
    <w:rsid w:val="00D6590A"/>
    <w:rsid w:val="00D9241D"/>
    <w:rsid w:val="00D95FB8"/>
    <w:rsid w:val="00DA53E4"/>
    <w:rsid w:val="00DD28E9"/>
    <w:rsid w:val="00DD4370"/>
    <w:rsid w:val="00E21602"/>
    <w:rsid w:val="00E24E9C"/>
    <w:rsid w:val="00E32206"/>
    <w:rsid w:val="00E41339"/>
    <w:rsid w:val="00E47455"/>
    <w:rsid w:val="00E53423"/>
    <w:rsid w:val="00E55562"/>
    <w:rsid w:val="00E62BD6"/>
    <w:rsid w:val="00E74817"/>
    <w:rsid w:val="00E75349"/>
    <w:rsid w:val="00E82BE2"/>
    <w:rsid w:val="00EC6E2B"/>
    <w:rsid w:val="00ED3FDF"/>
    <w:rsid w:val="00EF0DA1"/>
    <w:rsid w:val="00F05FCF"/>
    <w:rsid w:val="00F17953"/>
    <w:rsid w:val="00F35AE3"/>
    <w:rsid w:val="00F43FBF"/>
    <w:rsid w:val="00F95AC8"/>
    <w:rsid w:val="00FB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82248FC-A960-48CB-869E-AC40EFF4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173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9634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748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header">
    <w:name w:val="模板-表格_noheader"/>
    <w:basedOn w:val="a1"/>
    <w:rsid w:val="00144847"/>
    <w:rPr>
      <w:rFonts w:ascii="Times New Roman" w:eastAsia="宋体" w:hAnsi="Times New Roman"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table" w:customStyle="1" w:styleId="sub-table">
    <w:name w:val="sub-table"/>
    <w:basedOn w:val="a1"/>
    <w:uiPriority w:val="99"/>
    <w:rsid w:val="00153DD1"/>
    <w:pPr>
      <w:adjustRightInd w:val="0"/>
      <w:snapToGrid w:val="0"/>
      <w:spacing w:line="360" w:lineRule="auto"/>
      <w:jc w:val="center"/>
    </w:pPr>
    <w:rPr>
      <w:rFonts w:ascii="Times New Roman" w:hAnsi="Times New Roman"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5">
    <w:name w:val="模板-标题 5"/>
    <w:basedOn w:val="-4"/>
    <w:qFormat/>
    <w:rsid w:val="00EC6E2B"/>
    <w:pPr>
      <w:numPr>
        <w:ilvl w:val="4"/>
      </w:numPr>
    </w:pPr>
  </w:style>
  <w:style w:type="paragraph" w:customStyle="1" w:styleId="-6">
    <w:name w:val="模板-标题 6"/>
    <w:basedOn w:val="-5"/>
    <w:qFormat/>
    <w:rsid w:val="00EC6E2B"/>
    <w:pPr>
      <w:numPr>
        <w:ilvl w:val="5"/>
      </w:numPr>
    </w:pPr>
  </w:style>
  <w:style w:type="paragraph" w:customStyle="1" w:styleId="-1">
    <w:name w:val="模板-标题 1"/>
    <w:basedOn w:val="1"/>
    <w:link w:val="-1Char"/>
    <w:qFormat/>
    <w:rsid w:val="002F6258"/>
    <w:pPr>
      <w:keepNext w:val="0"/>
      <w:keepLines w:val="0"/>
      <w:widowControl/>
      <w:numPr>
        <w:numId w:val="20"/>
      </w:numPr>
      <w:shd w:val="clear" w:color="auto" w:fill="FFFFFF"/>
      <w:adjustRightInd w:val="0"/>
      <w:spacing w:before="100" w:beforeAutospacing="1" w:after="100" w:afterAutospacing="1" w:line="240" w:lineRule="auto"/>
      <w:jc w:val="center"/>
    </w:pPr>
    <w:rPr>
      <w:rFonts w:ascii="宋体" w:hAnsi="宋体"/>
      <w:color w:val="222222"/>
      <w:kern w:val="36"/>
      <w:sz w:val="28"/>
      <w:szCs w:val="24"/>
      <w:lang w:val="x-none" w:eastAsia="x-none"/>
    </w:rPr>
  </w:style>
  <w:style w:type="character" w:customStyle="1" w:styleId="-1Char">
    <w:name w:val="模板-标题 1 Char"/>
    <w:link w:val="-1"/>
    <w:rsid w:val="00296349"/>
    <w:rPr>
      <w:rFonts w:ascii="宋体" w:hAnsi="宋体"/>
      <w:b/>
      <w:bCs/>
      <w:color w:val="222222"/>
      <w:kern w:val="36"/>
      <w:sz w:val="28"/>
      <w:szCs w:val="24"/>
      <w:shd w:val="clear" w:color="auto" w:fill="FFFFFF"/>
      <w:lang w:val="x-none" w:eastAsia="x-none"/>
    </w:rPr>
  </w:style>
  <w:style w:type="character" w:customStyle="1" w:styleId="10">
    <w:name w:val="标题 1 字符"/>
    <w:basedOn w:val="a0"/>
    <w:link w:val="1"/>
    <w:uiPriority w:val="9"/>
    <w:rsid w:val="00296349"/>
    <w:rPr>
      <w:rFonts w:ascii="微软雅黑 Light" w:hAnsi="微软雅黑 Light"/>
      <w:b/>
      <w:bCs/>
      <w:kern w:val="44"/>
      <w:sz w:val="44"/>
      <w:szCs w:val="44"/>
    </w:rPr>
  </w:style>
  <w:style w:type="paragraph" w:customStyle="1" w:styleId="-2">
    <w:name w:val="模板-标题 2"/>
    <w:basedOn w:val="2"/>
    <w:link w:val="-2Char"/>
    <w:qFormat/>
    <w:rsid w:val="002F6258"/>
    <w:pPr>
      <w:keepNext w:val="0"/>
      <w:keepLines w:val="0"/>
      <w:widowControl/>
      <w:numPr>
        <w:ilvl w:val="1"/>
        <w:numId w:val="20"/>
      </w:numPr>
      <w:adjustRightInd w:val="0"/>
      <w:snapToGrid w:val="0"/>
      <w:spacing w:before="0" w:after="0" w:line="360" w:lineRule="auto"/>
    </w:pPr>
    <w:rPr>
      <w:rFonts w:ascii="宋体" w:eastAsiaTheme="minorEastAsia" w:hAnsi="宋体" w:cstheme="minorBidi"/>
      <w:color w:val="222222"/>
      <w:sz w:val="24"/>
      <w:szCs w:val="18"/>
      <w:lang w:val="x-none" w:eastAsia="x-none"/>
    </w:rPr>
  </w:style>
  <w:style w:type="character" w:customStyle="1" w:styleId="-2Char">
    <w:name w:val="模板-标题 2 Char"/>
    <w:link w:val="-2"/>
    <w:rsid w:val="00B74832"/>
    <w:rPr>
      <w:rFonts w:ascii="宋体" w:hAnsi="宋体"/>
      <w:b/>
      <w:bCs/>
      <w:color w:val="222222"/>
      <w:sz w:val="24"/>
      <w:szCs w:val="18"/>
      <w:lang w:val="x-none" w:eastAsia="x-none"/>
    </w:rPr>
  </w:style>
  <w:style w:type="paragraph" w:styleId="a3">
    <w:name w:val="Body Text"/>
    <w:basedOn w:val="a"/>
    <w:link w:val="a4"/>
    <w:uiPriority w:val="99"/>
    <w:semiHidden/>
    <w:unhideWhenUsed/>
    <w:rsid w:val="00EC6E2B"/>
    <w:pPr>
      <w:spacing w:after="120"/>
    </w:pPr>
  </w:style>
  <w:style w:type="character" w:customStyle="1" w:styleId="a4">
    <w:name w:val="正文文本 字符"/>
    <w:basedOn w:val="a0"/>
    <w:link w:val="a3"/>
    <w:uiPriority w:val="99"/>
    <w:semiHidden/>
    <w:rsid w:val="00EC6E2B"/>
    <w:rPr>
      <w:rFonts w:ascii="微软雅黑 Light" w:hAnsi="微软雅黑 Light"/>
    </w:rPr>
  </w:style>
  <w:style w:type="paragraph" w:customStyle="1" w:styleId="-3">
    <w:name w:val="模板-标题 3"/>
    <w:basedOn w:val="a"/>
    <w:link w:val="-3Char"/>
    <w:qFormat/>
    <w:rsid w:val="002F6258"/>
    <w:pPr>
      <w:spacing w:beforeLines="50" w:before="50" w:afterLines="50" w:after="50"/>
      <w:ind w:hangingChars="324" w:hanging="1418"/>
    </w:pPr>
    <w:rPr>
      <w:rFonts w:asciiTheme="minorHAnsi" w:hAnsiTheme="minorHAnsi"/>
      <w:b/>
      <w:color w:val="222222"/>
      <w:sz w:val="24"/>
      <w:szCs w:val="18"/>
      <w:lang w:val="x-none" w:eastAsia="x-none"/>
    </w:rPr>
  </w:style>
  <w:style w:type="character" w:customStyle="1" w:styleId="-3Char">
    <w:name w:val="模板-标题 3 Char"/>
    <w:link w:val="-3"/>
    <w:rsid w:val="002F6258"/>
    <w:rPr>
      <w:b/>
      <w:color w:val="222222"/>
      <w:sz w:val="24"/>
      <w:szCs w:val="18"/>
      <w:lang w:val="x-none" w:eastAsia="x-none"/>
    </w:rPr>
  </w:style>
  <w:style w:type="paragraph" w:customStyle="1" w:styleId="-4">
    <w:name w:val="模板-标题 4"/>
    <w:basedOn w:val="a"/>
    <w:qFormat/>
    <w:rsid w:val="002F6258"/>
    <w:pPr>
      <w:numPr>
        <w:ilvl w:val="3"/>
        <w:numId w:val="20"/>
      </w:numPr>
      <w:spacing w:line="360" w:lineRule="auto"/>
    </w:pPr>
    <w:rPr>
      <w:b/>
      <w:sz w:val="24"/>
    </w:rPr>
  </w:style>
  <w:style w:type="character" w:customStyle="1" w:styleId="20">
    <w:name w:val="标题 2 字符"/>
    <w:basedOn w:val="a0"/>
    <w:link w:val="2"/>
    <w:uiPriority w:val="9"/>
    <w:semiHidden/>
    <w:rsid w:val="00B74832"/>
    <w:rPr>
      <w:rFonts w:asciiTheme="majorHAnsi" w:eastAsiaTheme="majorEastAsia" w:hAnsiTheme="majorHAnsi" w:cstheme="majorBidi"/>
      <w:b/>
      <w:bCs/>
      <w:sz w:val="32"/>
      <w:szCs w:val="32"/>
    </w:rPr>
  </w:style>
  <w:style w:type="table" w:customStyle="1" w:styleId="-">
    <w:name w:val="模板-表格"/>
    <w:basedOn w:val="a1"/>
    <w:rsid w:val="00144847"/>
    <w:rPr>
      <w:rFonts w:ascii="Times New Roman" w:eastAsia="宋体" w:hAnsi="Times New Roman"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tblPr/>
      <w:trPr>
        <w:cantSplit w:val="0"/>
      </w:trPr>
      <w:tcPr>
        <w:shd w:val="clear" w:color="auto" w:fill="BFBFBF"/>
      </w:tcPr>
    </w:tblStylePr>
  </w:style>
  <w:style w:type="paragraph" w:customStyle="1" w:styleId="-0">
    <w:name w:val="模板-正文"/>
    <w:basedOn w:val="a5"/>
    <w:link w:val="-Char"/>
    <w:qFormat/>
    <w:rsid w:val="005B1731"/>
    <w:pPr>
      <w:widowControl/>
      <w:snapToGrid w:val="0"/>
      <w:spacing w:line="360" w:lineRule="auto"/>
      <w:ind w:firstLineChars="200" w:firstLine="200"/>
    </w:pPr>
    <w:rPr>
      <w:rFonts w:ascii="宋体" w:hAnsi="宋体"/>
      <w:color w:val="222222"/>
      <w:kern w:val="0"/>
      <w:sz w:val="21"/>
      <w:szCs w:val="21"/>
      <w:lang w:val="x-none" w:eastAsia="x-none"/>
    </w:rPr>
  </w:style>
  <w:style w:type="character" w:customStyle="1" w:styleId="-Char">
    <w:name w:val="模板-正文 Char"/>
    <w:link w:val="-0"/>
    <w:rsid w:val="005B1731"/>
    <w:rPr>
      <w:rFonts w:ascii="宋体" w:eastAsia="宋体" w:hAnsi="宋体" w:cs="Times New Roman"/>
      <w:color w:val="222222"/>
      <w:kern w:val="0"/>
      <w:szCs w:val="21"/>
      <w:lang w:val="x-none" w:eastAsia="x-none"/>
    </w:rPr>
  </w:style>
  <w:style w:type="paragraph" w:styleId="a5">
    <w:name w:val="Normal (Web)"/>
    <w:basedOn w:val="a"/>
    <w:uiPriority w:val="99"/>
    <w:semiHidden/>
    <w:unhideWhenUsed/>
    <w:rsid w:val="005B1731"/>
    <w:rPr>
      <w:sz w:val="24"/>
    </w:rPr>
  </w:style>
  <w:style w:type="paragraph" w:styleId="a6">
    <w:name w:val="header"/>
    <w:basedOn w:val="a"/>
    <w:link w:val="a7"/>
    <w:uiPriority w:val="99"/>
    <w:unhideWhenUsed/>
    <w:rsid w:val="00CE12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E126A"/>
    <w:rPr>
      <w:rFonts w:ascii="Times New Roman" w:eastAsia="宋体" w:hAnsi="Times New Roman" w:cs="Times New Roman"/>
      <w:sz w:val="18"/>
      <w:szCs w:val="18"/>
    </w:rPr>
  </w:style>
  <w:style w:type="paragraph" w:styleId="a8">
    <w:name w:val="footer"/>
    <w:basedOn w:val="a"/>
    <w:link w:val="a9"/>
    <w:uiPriority w:val="99"/>
    <w:unhideWhenUsed/>
    <w:rsid w:val="00CE126A"/>
    <w:pPr>
      <w:tabs>
        <w:tab w:val="center" w:pos="4153"/>
        <w:tab w:val="right" w:pos="8306"/>
      </w:tabs>
      <w:snapToGrid w:val="0"/>
      <w:jc w:val="left"/>
    </w:pPr>
    <w:rPr>
      <w:sz w:val="18"/>
      <w:szCs w:val="18"/>
    </w:rPr>
  </w:style>
  <w:style w:type="character" w:customStyle="1" w:styleId="a9">
    <w:name w:val="页脚 字符"/>
    <w:basedOn w:val="a0"/>
    <w:link w:val="a8"/>
    <w:uiPriority w:val="99"/>
    <w:rsid w:val="00CE126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阿 圣</cp:lastModifiedBy>
  <cp:revision>53</cp:revision>
  <dcterms:created xsi:type="dcterms:W3CDTF">2018-07-12T09:04:00Z</dcterms:created>
  <dcterms:modified xsi:type="dcterms:W3CDTF">2018-07-13T08:51:00Z</dcterms:modified>
</cp:coreProperties>
</file>