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5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Хамбалеев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Галимович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использование некоторых консольных команд для взаимодействия с кодом и веб-сервером.</w:t>
      </w:r>
    </w:p>
    <w:bookmarkEnd w:id="21"/>
    <w:bookmarkStart w:id="22" w:name="теория"/>
    <w:p>
      <w:pPr>
        <w:pStyle w:val="Heading1"/>
      </w:pPr>
      <w:r>
        <w:t xml:space="preserve">Теория</w:t>
      </w:r>
    </w:p>
    <w:p>
      <w:pPr>
        <w:pStyle w:val="FirstParagraph"/>
      </w:pPr>
      <w:r>
        <w:t xml:space="preserve">Для запуска веб-сервера Apache нам понадобится установить пакет apache, доступный в оффициальных репозиториях. Затем настроить файл конфигурации, который находится по адресу /etc/httpd/conf. Для старта apache нужно запустить службу httpd.service.</w:t>
      </w:r>
    </w:p>
    <w:bookmarkEnd w:id="22"/>
    <w:bookmarkStart w:id="71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Войдём в систему и убедимся что SELinux работает в режиме enforcing. Убедимся что веб-сервер работает. Найдём веб-сервер Apache в списке процессов. Посмотрим текущее состояние переключателей SELinux для Apache.(рис 1-4)</w:t>
      </w:r>
    </w:p>
    <w:p>
      <w:pPr>
        <w:pStyle w:val="CaptionedFigure"/>
      </w:pPr>
      <w:bookmarkStart w:id="24" w:name="fig:001"/>
      <w:r>
        <w:drawing>
          <wp:inline>
            <wp:extent cx="5334000" cy="4572000"/>
            <wp:effectExtent b="0" l="0" r="0" t="0"/>
            <wp:docPr descr="Figure 1: рис.1. Getenforce и sestatus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рис.1. Getenforce и sestatus.</w:t>
      </w:r>
    </w:p>
    <w:p>
      <w:pPr>
        <w:pStyle w:val="CaptionedFigure"/>
      </w:pPr>
      <w:bookmarkStart w:id="26" w:name="fig:002"/>
      <w:r>
        <w:drawing>
          <wp:inline>
            <wp:extent cx="5334000" cy="1096536"/>
            <wp:effectExtent b="0" l="0" r="0" t="0"/>
            <wp:docPr descr="Figure 2: рис.2. Проверка работы веб-сервера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рис.2. Проверка работы веб-сервера.</w:t>
      </w:r>
    </w:p>
    <w:p>
      <w:pPr>
        <w:pStyle w:val="CaptionedFigure"/>
      </w:pPr>
      <w:bookmarkStart w:id="28" w:name="fig:003"/>
      <w:r>
        <w:drawing>
          <wp:inline>
            <wp:extent cx="5334000" cy="4614470"/>
            <wp:effectExtent b="0" l="0" r="0" t="0"/>
            <wp:docPr descr="Figure 3: рис.3. Список процессов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рис.3. Список процессов.</w:t>
      </w:r>
    </w:p>
    <w:p>
      <w:pPr>
        <w:pStyle w:val="CaptionedFigure"/>
      </w:pPr>
      <w:bookmarkStart w:id="30" w:name="fig:004"/>
      <w:r>
        <w:drawing>
          <wp:inline>
            <wp:extent cx="5334000" cy="2765430"/>
            <wp:effectExtent b="0" l="0" r="0" t="0"/>
            <wp:docPr descr="Figure 4: рис.4. Переключатели SELinux для Apache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рис.4. Переключатели SELinux для Apache.</w:t>
      </w:r>
    </w:p>
    <w:p>
      <w:pPr>
        <w:numPr>
          <w:ilvl w:val="0"/>
          <w:numId w:val="1002"/>
        </w:numPr>
        <w:pStyle w:val="Compact"/>
      </w:pPr>
      <w:r>
        <w:t xml:space="preserve">Посмотрим статистику по политике. Определим тип файлов и поддиректорий в /var/www и /var/www/html. Определим круг пользователей, которым разрешено создание файлов в директории /var/www/html. Создадим от имени суперпользователя html файл. Проверим контенкст созданного файла. (рис.5-8)</w:t>
      </w:r>
    </w:p>
    <w:p>
      <w:pPr>
        <w:pStyle w:val="CaptionedFigure"/>
      </w:pPr>
      <w:bookmarkStart w:id="32" w:name="fig:005"/>
      <w:r>
        <w:drawing>
          <wp:inline>
            <wp:extent cx="5334000" cy="1880397"/>
            <wp:effectExtent b="0" l="0" r="0" t="0"/>
            <wp:docPr descr="Figure 5: рис.5. Seinfo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рис.5. Seinfo.</w:t>
      </w:r>
    </w:p>
    <w:p>
      <w:pPr>
        <w:pStyle w:val="CaptionedFigure"/>
      </w:pPr>
      <w:bookmarkStart w:id="34" w:name="fig:006"/>
      <w:r>
        <w:drawing>
          <wp:inline>
            <wp:extent cx="5334000" cy="4587926"/>
            <wp:effectExtent b="0" l="0" r="0" t="0"/>
            <wp:docPr descr="Figure 6: рис.6. Определение типа файлов и круга пользователей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рис.6. Определение типа файлов и круга пользователей.</w:t>
      </w:r>
    </w:p>
    <w:p>
      <w:pPr>
        <w:pStyle w:val="CaptionedFigure"/>
      </w:pPr>
      <w:bookmarkStart w:id="36" w:name="fig:007"/>
      <w:r>
        <w:drawing>
          <wp:inline>
            <wp:extent cx="5334000" cy="4597093"/>
            <wp:effectExtent b="0" l="0" r="0" t="0"/>
            <wp:docPr descr="Figure 7: рис.7. HTML код для веб сервера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рис.7. HTML код для веб сервера.</w:t>
      </w:r>
    </w:p>
    <w:p>
      <w:pPr>
        <w:pStyle w:val="CaptionedFigure"/>
      </w:pPr>
      <w:bookmarkStart w:id="38" w:name="fig:008"/>
      <w:r>
        <w:drawing>
          <wp:inline>
            <wp:extent cx="5334000" cy="4625105"/>
            <wp:effectExtent b="0" l="0" r="0" t="0"/>
            <wp:docPr descr="Figure 8: рис.8. Проверим контекст созданного файла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рис.8. Проверим контекст созданного файла.</w:t>
      </w:r>
    </w:p>
    <w:p>
      <w:pPr>
        <w:numPr>
          <w:ilvl w:val="0"/>
          <w:numId w:val="1003"/>
        </w:numPr>
        <w:pStyle w:val="Compact"/>
      </w:pPr>
      <w:r>
        <w:t xml:space="preserve">Обратимся к файлу через веб-сервер и убедимся, что файл был успешно отображен. Выясним какие контексты файлов определены для httpd. Изменим контекст файла test.html . Попробуем ещё раз получить доступ к файлу через веб-серввер, но получим сообщение об ошибке.(рис.9-13)</w:t>
      </w:r>
    </w:p>
    <w:p>
      <w:pPr>
        <w:pStyle w:val="CaptionedFigure"/>
      </w:pPr>
      <w:bookmarkStart w:id="40" w:name="fig:009"/>
      <w:r>
        <w:drawing>
          <wp:inline>
            <wp:extent cx="5334000" cy="4596640"/>
            <wp:effectExtent b="0" l="0" r="0" t="0"/>
            <wp:docPr descr="Figure 9: рис.9. Браузер и веб-сервер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рис.9. Браузер и веб-сервер.</w:t>
      </w:r>
    </w:p>
    <w:p>
      <w:pPr>
        <w:pStyle w:val="CaptionedFigure"/>
      </w:pPr>
      <w:bookmarkStart w:id="42" w:name="fig:010"/>
      <w:r>
        <w:drawing>
          <wp:inline>
            <wp:extent cx="5334000" cy="4598424"/>
            <wp:effectExtent b="0" l="0" r="0" t="0"/>
            <wp:docPr descr="Figure 10: рис.10. Лог файлы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рис.10. Лог файлы.</w:t>
      </w:r>
    </w:p>
    <w:p>
      <w:pPr>
        <w:pStyle w:val="CaptionedFigure"/>
      </w:pPr>
      <w:bookmarkStart w:id="44" w:name="fig:011"/>
      <w:r>
        <w:drawing>
          <wp:inline>
            <wp:extent cx="5334000" cy="4608198"/>
            <wp:effectExtent b="0" l="0" r="0" t="0"/>
            <wp:docPr descr="Figure 11: рис.11. Лог файлы(часть 2)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рис.11. Лог файлы(часть 2).</w:t>
      </w:r>
    </w:p>
    <w:p>
      <w:pPr>
        <w:pStyle w:val="CaptionedFigure"/>
      </w:pPr>
      <w:bookmarkStart w:id="46" w:name="fig:012"/>
      <w:r>
        <w:drawing>
          <wp:inline>
            <wp:extent cx="5334000" cy="4601378"/>
            <wp:effectExtent b="0" l="0" r="0" t="0"/>
            <wp:docPr descr="Figure 12: рис.12. Запрет доступа к веб-серверу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рис.12. Запрет доступа к веб-серверу.</w:t>
      </w:r>
    </w:p>
    <w:p>
      <w:pPr>
        <w:pStyle w:val="CaptionedFigure"/>
      </w:pPr>
      <w:bookmarkStart w:id="48" w:name="fig:013"/>
      <w:r>
        <w:drawing>
          <wp:inline>
            <wp:extent cx="5334000" cy="4584915"/>
            <wp:effectExtent b="0" l="0" r="0" t="0"/>
            <wp:docPr descr="Figure 13: рис.13. Анализ ситуации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рис.13. Анализ ситуации.</w:t>
      </w:r>
    </w:p>
    <w:p>
      <w:pPr>
        <w:numPr>
          <w:ilvl w:val="0"/>
          <w:numId w:val="1004"/>
        </w:numPr>
        <w:pStyle w:val="Compact"/>
      </w:pPr>
      <w:r>
        <w:t xml:space="preserve">Посмотрим лог файлы веб-сервера Apache. Попробуем запустить веб-сервер Apache на прослушивание TCP-порта 81. Выполним перезапуск(получен сбой). ( рис.14-17)</w:t>
      </w:r>
    </w:p>
    <w:p>
      <w:pPr>
        <w:pStyle w:val="CaptionedFigure"/>
      </w:pPr>
      <w:bookmarkStart w:id="50" w:name="fig:014"/>
      <w:r>
        <w:drawing>
          <wp:inline>
            <wp:extent cx="5334000" cy="4620507"/>
            <wp:effectExtent b="0" l="0" r="0" t="0"/>
            <wp:docPr descr="Figure 14: рис.14. Лог веб-сервера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рис.14. Лог веб-сервера.</w:t>
      </w:r>
    </w:p>
    <w:p>
      <w:pPr>
        <w:pStyle w:val="CaptionedFigure"/>
      </w:pPr>
      <w:bookmarkStart w:id="52" w:name="fig:015"/>
      <w:r>
        <w:drawing>
          <wp:inline>
            <wp:extent cx="5334000" cy="4577526"/>
            <wp:effectExtent b="0" l="0" r="0" t="0"/>
            <wp:docPr descr="Figure 15: рис.15. Listen 81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рис.15. Listen 81.</w:t>
      </w:r>
    </w:p>
    <w:p>
      <w:pPr>
        <w:pStyle w:val="CaptionedFigure"/>
      </w:pPr>
      <w:bookmarkStart w:id="54" w:name="fig:016"/>
      <w:r>
        <w:drawing>
          <wp:inline>
            <wp:extent cx="5334000" cy="4589220"/>
            <wp:effectExtent b="0" l="0" r="0" t="0"/>
            <wp:docPr descr="Figure 16: рис.16. Неудачная попытка соединения с веб-сервером через браузер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рис.16. Неудачная попытка соединения с веб-сервером через браузер.</w:t>
      </w:r>
    </w:p>
    <w:p>
      <w:pPr>
        <w:pStyle w:val="CaptionedFigure"/>
      </w:pPr>
      <w:bookmarkStart w:id="56" w:name="fig:017"/>
      <w:r>
        <w:drawing>
          <wp:inline>
            <wp:extent cx="5334000" cy="4592927"/>
            <wp:effectExtent b="0" l="0" r="0" t="0"/>
            <wp:docPr descr="Figure 17: рис.17.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рис.17. Перезапуск сервера.</w:t>
      </w:r>
    </w:p>
    <w:p>
      <w:pPr>
        <w:numPr>
          <w:ilvl w:val="0"/>
          <w:numId w:val="1005"/>
        </w:numPr>
        <w:pStyle w:val="Compact"/>
      </w:pPr>
      <w:r>
        <w:t xml:space="preserve">Проанализируем лог файлы. Проверим список портов и убедимся, что 81 появился в списке. Попробуем запустить сервер ещё раз. Успешно.(рис. 18-22)</w:t>
      </w:r>
    </w:p>
    <w:p>
      <w:pPr>
        <w:pStyle w:val="CaptionedFigure"/>
      </w:pPr>
      <w:bookmarkStart w:id="58" w:name="fig:018"/>
      <w:r>
        <w:drawing>
          <wp:inline>
            <wp:extent cx="5334000" cy="4609364"/>
            <wp:effectExtent b="0" l="0" r="0" t="0"/>
            <wp:docPr descr="Figure 18: рис.18. Лог.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рис.18. Лог.</w:t>
      </w:r>
    </w:p>
    <w:p>
      <w:pPr>
        <w:pStyle w:val="CaptionedFigure"/>
      </w:pPr>
      <w:bookmarkStart w:id="60" w:name="fig:019"/>
      <w:r>
        <w:drawing>
          <wp:inline>
            <wp:extent cx="5334000" cy="4621936"/>
            <wp:effectExtent b="0" l="0" r="0" t="0"/>
            <wp:docPr descr="Figure 19: рис.19. Лог(часть2).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рис.19. Лог(часть2).</w:t>
      </w:r>
    </w:p>
    <w:p>
      <w:pPr>
        <w:pStyle w:val="CaptionedFigure"/>
      </w:pPr>
      <w:bookmarkStart w:id="62" w:name="fig:020"/>
      <w:r>
        <w:drawing>
          <wp:inline>
            <wp:extent cx="5334000" cy="4586122"/>
            <wp:effectExtent b="0" l="0" r="0" t="0"/>
            <wp:docPr descr="Figure 20: рис.20. Список портов.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рис.20. Список портов.</w:t>
      </w:r>
    </w:p>
    <w:p>
      <w:pPr>
        <w:pStyle w:val="CaptionedFigure"/>
      </w:pPr>
      <w:bookmarkStart w:id="64" w:name="fig:021"/>
      <w:r>
        <w:drawing>
          <wp:inline>
            <wp:extent cx="5334000" cy="4596043"/>
            <wp:effectExtent b="0" l="0" r="0" t="0"/>
            <wp:docPr descr="Figure 21: рис.21. Повторный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рис.21. Повторный перезапуск сервера.</w:t>
      </w:r>
    </w:p>
    <w:p>
      <w:pPr>
        <w:pStyle w:val="CaptionedFigure"/>
      </w:pPr>
      <w:bookmarkStart w:id="66" w:name="fig:022"/>
      <w:r>
        <w:drawing>
          <wp:inline>
            <wp:extent cx="5334000" cy="577272"/>
            <wp:effectExtent b="0" l="0" r="0" t="0"/>
            <wp:docPr descr="Figure 22: рис.22. Удачная попытка доступа к серверу.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рис.22. Удачная попытка доступа к серверу.</w:t>
      </w:r>
    </w:p>
    <w:p>
      <w:pPr>
        <w:numPr>
          <w:ilvl w:val="0"/>
          <w:numId w:val="1006"/>
        </w:numPr>
        <w:pStyle w:val="Compact"/>
      </w:pPr>
      <w:r>
        <w:t xml:space="preserve">Исправим обратно конфигурационный файл apache. Удалим привязку к 81 порту. Удалим файл test.html.(рис. 23-27)</w:t>
      </w:r>
    </w:p>
    <w:p>
      <w:pPr>
        <w:pStyle w:val="CaptionedFigure"/>
      </w:pPr>
      <w:bookmarkStart w:id="68" w:name="fig:023"/>
      <w:r>
        <w:drawing>
          <wp:inline>
            <wp:extent cx="5334000" cy="4586122"/>
            <wp:effectExtent b="0" l="0" r="0" t="0"/>
            <wp:docPr descr="Figure 23: рис.23. Исправление конфигурационного файла.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рис.23. Исправление конфигурационного файла.</w:t>
      </w:r>
    </w:p>
    <w:p>
      <w:pPr>
        <w:pStyle w:val="CaptionedFigure"/>
      </w:pPr>
      <w:bookmarkStart w:id="70" w:name="fig:024"/>
      <w:r>
        <w:drawing>
          <wp:inline>
            <wp:extent cx="5334000" cy="4589820"/>
            <wp:effectExtent b="0" l="0" r="0" t="0"/>
            <wp:docPr descr="Figure 24: рис.24. Удаление привязки и файла.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рис.24. Удаление привязки и файла.</w:t>
      </w:r>
    </w:p>
    <w:bookmarkEnd w:id="71"/>
    <w:bookmarkStart w:id="72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7"/>
        </w:numPr>
      </w:pPr>
      <w:r>
        <w:t xml:space="preserve">ТУИС РУДН</w:t>
      </w:r>
    </w:p>
    <w:p>
      <w:pPr>
        <w:numPr>
          <w:ilvl w:val="0"/>
          <w:numId w:val="1007"/>
        </w:numPr>
      </w:pPr>
      <w:r>
        <w:t xml:space="preserve">Статья на сайте</w:t>
      </w:r>
      <w:r>
        <w:t xml:space="preserve"> </w:t>
      </w:r>
      <w:r>
        <w:t xml:space="preserve">“</w:t>
      </w:r>
      <w:r>
        <w:t xml:space="preserve">https://wiki.archlinux.org/title/Apache_HTTP_Server_(%D0%A0%D1%83%D1%81%D1%81%D0%BA%D0%B8%D0%B9)</w:t>
      </w:r>
      <w:r>
        <w:t xml:space="preserve">”</w:t>
      </w:r>
    </w:p>
    <w:bookmarkEnd w:id="72"/>
    <w:bookmarkStart w:id="7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получил навыки администрирования OC Linux. Получил первое практическое знакомство с технологией SELinux. Проверил работу SELinux на практике совместно с веб-сервером Apache.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5" Target="media/rId25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номер 6</dc:title>
  <dc:creator>Хамбалеев Булат Галимович</dc:creator>
  <dc:language>ru-RU</dc:language>
  <cp:keywords/>
  <dcterms:created xsi:type="dcterms:W3CDTF">2021-11-27T14:28:25Z</dcterms:created>
  <dcterms:modified xsi:type="dcterms:W3CDTF">2021-11-27T14:28:25Z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