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Covariate-adjusted two-way fixed effects estimates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033"/>
        <w:gridCol w:w="1266"/>
        <w:gridCol w:w="1328"/>
      </w:tblGrid>
      <w:tr>
        <w:trPr>
          <w:trHeight w:val="57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Std. error</w:t>
            </w:r>
          </w:p>
        </w:tc>
      </w:tr>
      <w:tr>
        <w:trPr>
          <w:trHeight w:val="614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 real minimum wage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1.54</w:t>
            </w:r>
          </w:p>
        </w:tc>
      </w:tr>
      <w:tr>
        <w:trPr>
          <w:trHeight w:val="61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Share with less than high school (standardized)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</w:t>
            </w:r>
          </w:p>
        </w:tc>
      </w:tr>
      <w:tr>
        <w:trPr>
          <w:trHeight w:val="61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Unemployment rate (standardized)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</w:t>
            </w:r>
          </w:p>
        </w:tc>
      </w:tr>
      <w:tr>
        <w:trPr>
          <w:trHeight w:val="617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Share receiving SNAP (standardized)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</w:tr>
      <w:tr>
        <w:trPr>
          <w:trHeight w:val="617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Share nonwhite (standardized)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2. Covariate-adjusted staggered DiD estimates (aggregated ATT)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67"/>
        <w:gridCol w:w="2783"/>
        <w:gridCol w:w="1328"/>
        <w:gridCol w:w="1670"/>
        <w:gridCol w:w="1756"/>
      </w:tblGrid>
      <w:tr>
        <w:trPr>
          <w:trHeight w:val="61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ATT (percentage points)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Std. 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95% CI (low)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95% CI (high)</w:t>
            </w:r>
          </w:p>
        </w:tc>
      </w:tr>
      <w:tr>
        <w:trPr>
          <w:trHeight w:val="574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Overall ATT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-4.76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-11.11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1.60</w:t>
            </w:r>
          </w:p>
        </w:tc>
      </w:tr>
      <w:tr>
        <w:trPr>
          <w:trHeight w:val="572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First treated in 2011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3.01</w:t>
            </w:r>
          </w:p>
        </w:tc>
      </w:tr>
      <w:tr>
        <w:trPr>
          <w:trHeight w:val="572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First treated in 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8.50</w:t>
            </w:r>
          </w:p>
        </w:tc>
      </w:tr>
      <w:tr>
        <w:trPr>
          <w:trHeight w:val="572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First treated in 2015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-6.62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-12.73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-0.52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Appendix Table A1. Baseline two-way fixed effects estimates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46"/>
        <w:gridCol w:w="1266"/>
        <w:gridCol w:w="1328"/>
      </w:tblGrid>
      <w:tr>
        <w:trPr>
          <w:trHeight w:val="57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Std. error</w:t>
            </w:r>
          </w:p>
        </w:tc>
      </w:tr>
      <w:tr>
        <w:trPr>
          <w:trHeight w:val="614" w:hRule="auto"/>
        </w:trPr>
        body1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 real minimum wage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1.63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Appendix Table A2. Baseline staggered DiD estimates (aggregated ATT)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67"/>
        <w:gridCol w:w="2783"/>
        <w:gridCol w:w="1328"/>
        <w:gridCol w:w="1670"/>
        <w:gridCol w:w="1756"/>
      </w:tblGrid>
      <w:tr>
        <w:trPr>
          <w:trHeight w:val="61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ATT (percentage points)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Std. 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95% CI (low)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95% CI (high)</w:t>
            </w:r>
          </w:p>
        </w:tc>
      </w:tr>
      <w:tr>
        <w:trPr>
          <w:trHeight w:val="574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Overall ATT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1.62</w:t>
            </w:r>
          </w:p>
        </w:tc>
      </w:tr>
      <w:tr>
        <w:trPr>
          <w:trHeight w:val="572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First treated in 2011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2.83</w:t>
            </w:r>
          </w:p>
        </w:tc>
      </w:tr>
      <w:tr>
        <w:trPr>
          <w:trHeight w:val="572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First treated in 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</w:t>
            </w:r>
          </w:p>
        </w:tc>
      </w:tr>
      <w:tr>
        <w:trPr>
          <w:trHeight w:val="572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First treated in 2015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-3.84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5.45</w:t>
            </w:r>
          </w:p>
        </w:tc>
      </w:tr>
    </w:tbl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925"/>
        <w:gridCol w:w="961"/>
        <w:gridCol w:w="839"/>
        <w:gridCol w:w="961"/>
        <w:gridCol w:w="961"/>
        <w:gridCol w:w="778"/>
      </w:tblGrid>
      <w:tr>
        <w:trPr>
          <w:trHeight w:val="57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Poverty rate among full-time low-wage workers (percent)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22.25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84.76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700</w:t>
            </w:r>
          </w:p>
        </w:tc>
      </w:tr>
      <w:tr>
        <w:trPr>
          <w:trHeight w:val="61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minimum wage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700</w:t>
            </w:r>
          </w:p>
        </w:tc>
      </w:tr>
      <w:tr>
        <w:trPr>
          <w:trHeight w:val="614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 real minimum wage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700</w:t>
            </w:r>
          </w:p>
        </w:tc>
      </w:tr>
      <w:tr>
        <w:trPr>
          <w:trHeight w:val="617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Unemployment rate (annual, percent)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700</w:t>
            </w:r>
          </w:p>
        </w:tc>
      </w:tr>
      <w:tr>
        <w:trPr>
          <w:trHeight w:val="617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Share receiving SNAP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700</w:t>
            </w:r>
          </w:p>
        </w:tc>
      </w:tr>
      <w:tr>
        <w:trPr>
          <w:trHeight w:val="617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Share with less than high school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700</w:t>
            </w:r>
          </w:p>
        </w:tc>
      </w:tr>
      <w:tr>
        <w:trPr>
          <w:trHeight w:val="574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Share nonwhite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700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2025-12-18T16:50:01Z</dcterms:modified>
  <cp:category/>
</cp:coreProperties>
</file>