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22"/>
        <w:tblLayout w:type="fixed"/>
        <w:tblLook w:firstRow="1" w:lastRow="1" w:firstColumn="0" w:lastColumn="0" w:noHBand="0" w:noVBand="0" w:val="0020"/>
      </w:tblPr>
      <w:tblGrid>
        <w:gridCol w:w="286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TWFE + 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TWFE + State Trends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real minimum wage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(3.195)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education share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Unemployment rate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participation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Nonwhite share (z)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Population-weighted. Standard errors (in parentheses) clustered</w:t>
            </w:r>
            <w:r>
              <w:t xml:space="preserve"> </w:t>
            </w:r>
            <w:r>
              <w:t xml:space="preserve">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2025-12-12T12:41:52Z</dcterms:created>
  <dcterms:modified xsi:type="dcterms:W3CDTF">2025-12-12T12:41:52Z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